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83EC" w14:textId="77777777" w:rsidR="00921713" w:rsidRDefault="00921713" w:rsidP="003B3D59">
      <w:pPr>
        <w:jc w:val="center"/>
        <w:rPr>
          <w:rFonts w:ascii="Calibri" w:hAnsi="Calibri" w:cs="Calibri"/>
          <w:b/>
          <w:bCs/>
          <w:sz w:val="44"/>
          <w:szCs w:val="44"/>
        </w:rPr>
      </w:pPr>
    </w:p>
    <w:p w14:paraId="0B1CE458" w14:textId="45845242" w:rsidR="005C7193" w:rsidRPr="007572D7" w:rsidRDefault="005C7193" w:rsidP="003B3D59">
      <w:pPr>
        <w:jc w:val="center"/>
        <w:rPr>
          <w:rFonts w:ascii="Calibri" w:hAnsi="Calibri" w:cs="Calibri"/>
          <w:b/>
          <w:bCs/>
          <w:sz w:val="44"/>
          <w:szCs w:val="44"/>
        </w:rPr>
      </w:pPr>
      <w:r w:rsidRPr="007572D7">
        <w:rPr>
          <w:rFonts w:ascii="Calibri" w:hAnsi="Calibri" w:cs="Calibri"/>
          <w:b/>
          <w:bCs/>
          <w:sz w:val="44"/>
          <w:szCs w:val="44"/>
        </w:rPr>
        <w:t>VERSTANDIGE KEUZES NEUROLOGIE 2026</w:t>
      </w:r>
    </w:p>
    <w:p w14:paraId="335000E8" w14:textId="77777777" w:rsidR="003B3D59" w:rsidRPr="007572D7" w:rsidRDefault="003B3D59">
      <w:pPr>
        <w:rPr>
          <w:rFonts w:ascii="Calibri" w:hAnsi="Calibri" w:cs="Calibri"/>
        </w:rPr>
      </w:pPr>
      <w:r w:rsidRPr="007572D7">
        <w:rPr>
          <w:rFonts w:ascii="Calibri" w:hAnsi="Calibri" w:cs="Calibri"/>
        </w:rPr>
        <w:br w:type="page"/>
      </w:r>
    </w:p>
    <w:p w14:paraId="030D494E" w14:textId="22FF084A" w:rsidR="00D25163" w:rsidRPr="00512338" w:rsidRDefault="00D25163" w:rsidP="00D25163">
      <w:pPr>
        <w:pStyle w:val="Normaalweb"/>
        <w:rPr>
          <w:rFonts w:ascii="Calibri" w:hAnsi="Calibri" w:cs="Calibri"/>
          <w:b/>
          <w:bCs/>
          <w:i/>
          <w:iCs/>
          <w:sz w:val="22"/>
          <w:szCs w:val="22"/>
        </w:rPr>
      </w:pPr>
      <w:r w:rsidRPr="00512338">
        <w:rPr>
          <w:rFonts w:ascii="Calibri" w:hAnsi="Calibri" w:cs="Calibri"/>
          <w:b/>
          <w:bCs/>
          <w:i/>
          <w:iCs/>
          <w:sz w:val="22"/>
          <w:szCs w:val="22"/>
        </w:rPr>
        <w:lastRenderedPageBreak/>
        <w:t xml:space="preserve">Neurologen voelen zich medeverantwoordelijk voor het toegankelijk en toekomstbestendig houden van de zorg. Daarom presenteert de Nederlandse Vereniging voor Neurologie (NVN) haar geactualiseerde lijst met Verstandige Keuzes. </w:t>
      </w:r>
      <w:r w:rsidR="00367CD8">
        <w:rPr>
          <w:rFonts w:ascii="Calibri" w:hAnsi="Calibri" w:cs="Calibri"/>
          <w:b/>
          <w:bCs/>
          <w:i/>
          <w:iCs/>
          <w:sz w:val="22"/>
          <w:szCs w:val="22"/>
        </w:rPr>
        <w:t>De</w:t>
      </w:r>
      <w:r w:rsidR="00001666">
        <w:rPr>
          <w:rFonts w:ascii="Calibri" w:hAnsi="Calibri" w:cs="Calibri"/>
          <w:b/>
          <w:bCs/>
          <w:i/>
          <w:iCs/>
          <w:sz w:val="22"/>
          <w:szCs w:val="22"/>
        </w:rPr>
        <w:t xml:space="preserve"> ingebrachte onderwerpen zijn</w:t>
      </w:r>
      <w:r w:rsidR="00367CD8">
        <w:rPr>
          <w:rFonts w:ascii="Calibri" w:hAnsi="Calibri" w:cs="Calibri"/>
          <w:b/>
          <w:bCs/>
          <w:i/>
          <w:iCs/>
          <w:sz w:val="22"/>
          <w:szCs w:val="22"/>
        </w:rPr>
        <w:t xml:space="preserve"> </w:t>
      </w:r>
      <w:r w:rsidR="00E455EE">
        <w:rPr>
          <w:rFonts w:ascii="Calibri" w:hAnsi="Calibri" w:cs="Calibri"/>
          <w:b/>
          <w:bCs/>
          <w:i/>
          <w:iCs/>
          <w:sz w:val="22"/>
          <w:szCs w:val="22"/>
        </w:rPr>
        <w:t>gecategoriseerd</w:t>
      </w:r>
      <w:r w:rsidR="00367CD8">
        <w:rPr>
          <w:rFonts w:ascii="Calibri" w:hAnsi="Calibri" w:cs="Calibri"/>
          <w:b/>
          <w:bCs/>
          <w:i/>
          <w:iCs/>
          <w:sz w:val="22"/>
          <w:szCs w:val="22"/>
        </w:rPr>
        <w:t xml:space="preserve"> </w:t>
      </w:r>
      <w:r w:rsidR="00E455EE">
        <w:rPr>
          <w:rFonts w:ascii="Calibri" w:hAnsi="Calibri" w:cs="Calibri"/>
          <w:b/>
          <w:bCs/>
          <w:i/>
          <w:iCs/>
          <w:sz w:val="22"/>
          <w:szCs w:val="22"/>
        </w:rPr>
        <w:t>b</w:t>
      </w:r>
      <w:r w:rsidRPr="00512338">
        <w:rPr>
          <w:rFonts w:ascii="Calibri" w:hAnsi="Calibri" w:cs="Calibri"/>
          <w:b/>
          <w:bCs/>
          <w:i/>
          <w:iCs/>
          <w:sz w:val="22"/>
          <w:szCs w:val="22"/>
        </w:rPr>
        <w:t>innen twee thema’s</w:t>
      </w:r>
      <w:r w:rsidR="00B50BB2">
        <w:rPr>
          <w:rFonts w:ascii="Calibri" w:hAnsi="Calibri" w:cs="Calibri"/>
          <w:b/>
          <w:bCs/>
          <w:i/>
          <w:iCs/>
          <w:sz w:val="22"/>
          <w:szCs w:val="22"/>
        </w:rPr>
        <w:t>:</w:t>
      </w:r>
      <w:r w:rsidRPr="00512338">
        <w:rPr>
          <w:rFonts w:ascii="Calibri" w:hAnsi="Calibri" w:cs="Calibri"/>
          <w:b/>
          <w:bCs/>
          <w:i/>
          <w:iCs/>
          <w:sz w:val="22"/>
          <w:szCs w:val="22"/>
        </w:rPr>
        <w:t xml:space="preserve"> </w:t>
      </w:r>
      <w:r w:rsidR="008A4B30">
        <w:rPr>
          <w:rFonts w:ascii="Calibri" w:hAnsi="Calibri" w:cs="Calibri"/>
          <w:b/>
          <w:bCs/>
          <w:i/>
          <w:iCs/>
          <w:sz w:val="22"/>
          <w:szCs w:val="22"/>
        </w:rPr>
        <w:t>1.</w:t>
      </w:r>
      <w:r w:rsidRPr="00512338">
        <w:rPr>
          <w:rFonts w:ascii="Calibri" w:hAnsi="Calibri" w:cs="Calibri"/>
          <w:b/>
          <w:bCs/>
          <w:i/>
          <w:iCs/>
          <w:sz w:val="22"/>
          <w:szCs w:val="22"/>
        </w:rPr>
        <w:t xml:space="preserve"> doelmatige verwijs- en triagecriteria in de neurologie</w:t>
      </w:r>
      <w:r w:rsidR="00B50BB2">
        <w:rPr>
          <w:rFonts w:ascii="Calibri" w:hAnsi="Calibri" w:cs="Calibri"/>
          <w:b/>
          <w:bCs/>
          <w:i/>
          <w:iCs/>
          <w:sz w:val="22"/>
          <w:szCs w:val="22"/>
        </w:rPr>
        <w:t xml:space="preserve">, </w:t>
      </w:r>
      <w:r w:rsidRPr="00512338">
        <w:rPr>
          <w:rFonts w:ascii="Calibri" w:hAnsi="Calibri" w:cs="Calibri"/>
          <w:b/>
          <w:bCs/>
          <w:i/>
          <w:iCs/>
          <w:sz w:val="22"/>
          <w:szCs w:val="22"/>
        </w:rPr>
        <w:t>en</w:t>
      </w:r>
      <w:r w:rsidR="008A4B30">
        <w:rPr>
          <w:rFonts w:ascii="Calibri" w:hAnsi="Calibri" w:cs="Calibri"/>
          <w:b/>
          <w:bCs/>
          <w:i/>
          <w:iCs/>
          <w:sz w:val="22"/>
          <w:szCs w:val="22"/>
        </w:rPr>
        <w:t xml:space="preserve"> 2.</w:t>
      </w:r>
      <w:r w:rsidRPr="00512338">
        <w:rPr>
          <w:rFonts w:ascii="Calibri" w:hAnsi="Calibri" w:cs="Calibri"/>
          <w:b/>
          <w:bCs/>
          <w:i/>
          <w:iCs/>
          <w:sz w:val="22"/>
          <w:szCs w:val="22"/>
        </w:rPr>
        <w:t xml:space="preserve"> doelmatige epilepsie</w:t>
      </w:r>
      <w:r w:rsidR="00257DF0">
        <w:rPr>
          <w:rFonts w:ascii="Calibri" w:hAnsi="Calibri" w:cs="Calibri"/>
          <w:b/>
          <w:bCs/>
          <w:i/>
          <w:iCs/>
          <w:sz w:val="22"/>
          <w:szCs w:val="22"/>
        </w:rPr>
        <w:t>zor</w:t>
      </w:r>
      <w:r w:rsidR="00D95420">
        <w:rPr>
          <w:rFonts w:ascii="Calibri" w:hAnsi="Calibri" w:cs="Calibri"/>
          <w:b/>
          <w:bCs/>
          <w:i/>
          <w:iCs/>
          <w:sz w:val="22"/>
          <w:szCs w:val="22"/>
        </w:rPr>
        <w:t>g, h</w:t>
      </w:r>
      <w:r w:rsidR="006C18EB">
        <w:rPr>
          <w:rFonts w:ascii="Calibri" w:hAnsi="Calibri" w:cs="Calibri"/>
          <w:b/>
          <w:bCs/>
          <w:i/>
          <w:iCs/>
          <w:sz w:val="22"/>
          <w:szCs w:val="22"/>
        </w:rPr>
        <w:t xml:space="preserve">ierbinnen </w:t>
      </w:r>
      <w:r w:rsidRPr="00512338">
        <w:rPr>
          <w:rFonts w:ascii="Calibri" w:hAnsi="Calibri" w:cs="Calibri"/>
          <w:b/>
          <w:bCs/>
          <w:i/>
          <w:iCs/>
          <w:sz w:val="22"/>
          <w:szCs w:val="22"/>
        </w:rPr>
        <w:t xml:space="preserve">zijn </w:t>
      </w:r>
      <w:r w:rsidR="00346993">
        <w:rPr>
          <w:rFonts w:ascii="Calibri" w:hAnsi="Calibri" w:cs="Calibri"/>
          <w:b/>
          <w:bCs/>
          <w:i/>
          <w:iCs/>
          <w:sz w:val="22"/>
          <w:szCs w:val="22"/>
        </w:rPr>
        <w:t>acht</w:t>
      </w:r>
      <w:r w:rsidR="00346993" w:rsidRPr="00512338">
        <w:rPr>
          <w:rFonts w:ascii="Calibri" w:hAnsi="Calibri" w:cs="Calibri"/>
          <w:b/>
          <w:bCs/>
          <w:i/>
          <w:iCs/>
          <w:sz w:val="22"/>
          <w:szCs w:val="22"/>
        </w:rPr>
        <w:t xml:space="preserve"> </w:t>
      </w:r>
      <w:r w:rsidRPr="00512338">
        <w:rPr>
          <w:rFonts w:ascii="Calibri" w:hAnsi="Calibri" w:cs="Calibri"/>
          <w:b/>
          <w:bCs/>
          <w:i/>
          <w:iCs/>
          <w:sz w:val="22"/>
          <w:szCs w:val="22"/>
        </w:rPr>
        <w:t>concrete aanbevelingen geformuleerd.</w:t>
      </w:r>
    </w:p>
    <w:p w14:paraId="2FC1DAE0" w14:textId="6A125214" w:rsidR="00D25163" w:rsidRPr="00512338" w:rsidRDefault="00D25163" w:rsidP="00D25163">
      <w:pPr>
        <w:pStyle w:val="Normaalweb"/>
        <w:rPr>
          <w:rFonts w:ascii="Calibri" w:hAnsi="Calibri" w:cs="Calibri"/>
          <w:b/>
          <w:bCs/>
          <w:i/>
          <w:iCs/>
          <w:sz w:val="22"/>
          <w:szCs w:val="22"/>
        </w:rPr>
      </w:pPr>
      <w:r w:rsidRPr="00512338">
        <w:rPr>
          <w:rFonts w:ascii="Calibri" w:hAnsi="Calibri" w:cs="Calibri"/>
          <w:b/>
          <w:bCs/>
          <w:i/>
          <w:iCs/>
          <w:sz w:val="22"/>
          <w:szCs w:val="22"/>
        </w:rPr>
        <w:t xml:space="preserve">De geselecteerde </w:t>
      </w:r>
      <w:r w:rsidR="006C18EB">
        <w:rPr>
          <w:rFonts w:ascii="Calibri" w:hAnsi="Calibri" w:cs="Calibri"/>
          <w:b/>
          <w:bCs/>
          <w:i/>
          <w:iCs/>
          <w:sz w:val="22"/>
          <w:szCs w:val="22"/>
        </w:rPr>
        <w:t>aanbevelingen</w:t>
      </w:r>
      <w:r w:rsidR="006C18EB" w:rsidRPr="00512338">
        <w:rPr>
          <w:rFonts w:ascii="Calibri" w:hAnsi="Calibri" w:cs="Calibri"/>
          <w:b/>
          <w:bCs/>
          <w:i/>
          <w:iCs/>
          <w:sz w:val="22"/>
          <w:szCs w:val="22"/>
        </w:rPr>
        <w:t xml:space="preserve"> </w:t>
      </w:r>
      <w:r w:rsidRPr="00512338">
        <w:rPr>
          <w:rFonts w:ascii="Calibri" w:hAnsi="Calibri" w:cs="Calibri"/>
          <w:b/>
          <w:bCs/>
          <w:i/>
          <w:iCs/>
          <w:sz w:val="22"/>
          <w:szCs w:val="22"/>
        </w:rPr>
        <w:t>dragen bij aan het verminderen van onnodige zorg, het terugdringen van praktijkvariatie en het versterken van passende zorg binnen de neurologie. Daarmee leveren zij een concrete bijdrage aan het toegankelijk en toekomstbestendig houden van de neurologische zorg.</w:t>
      </w:r>
    </w:p>
    <w:p w14:paraId="7C07ACAC" w14:textId="77777777" w:rsidR="00C137B6" w:rsidRDefault="00C137B6">
      <w:pPr>
        <w:rPr>
          <w:rFonts w:ascii="Calibri" w:hAnsi="Calibri" w:cs="Calibri"/>
        </w:rPr>
      </w:pPr>
    </w:p>
    <w:p w14:paraId="17B4C1EE" w14:textId="77777777" w:rsidR="00C137B6" w:rsidRDefault="00C137B6">
      <w:pPr>
        <w:rPr>
          <w:rFonts w:ascii="Calibri" w:hAnsi="Calibri" w:cs="Calibri"/>
        </w:rPr>
      </w:pPr>
    </w:p>
    <w:sdt>
      <w:sdtPr>
        <w:rPr>
          <w:rFonts w:asciiTheme="minorHAnsi" w:eastAsiaTheme="minorHAnsi" w:hAnsiTheme="minorHAnsi" w:cstheme="minorBidi"/>
          <w:b w:val="0"/>
          <w:bCs w:val="0"/>
          <w:color w:val="auto"/>
          <w:kern w:val="2"/>
          <w:sz w:val="22"/>
          <w:szCs w:val="22"/>
          <w:lang w:eastAsia="en-US"/>
          <w14:ligatures w14:val="standardContextual"/>
        </w:rPr>
        <w:id w:val="-295219872"/>
        <w:docPartObj>
          <w:docPartGallery w:val="Table of Contents"/>
          <w:docPartUnique/>
        </w:docPartObj>
      </w:sdtPr>
      <w:sdtEndPr>
        <w:rPr>
          <w:rFonts w:ascii="Times New Roman" w:eastAsia="Times New Roman" w:hAnsi="Times New Roman" w:cs="Times New Roman"/>
          <w:noProof/>
          <w:kern w:val="0"/>
          <w:sz w:val="24"/>
          <w:szCs w:val="24"/>
          <w:lang w:eastAsia="nl-NL"/>
          <w14:ligatures w14:val="none"/>
        </w:rPr>
      </w:sdtEndPr>
      <w:sdtContent>
        <w:p w14:paraId="4E486EA6" w14:textId="6485AC69" w:rsidR="00C137B6" w:rsidRPr="00B50BB2" w:rsidRDefault="00C137B6">
          <w:pPr>
            <w:pStyle w:val="Kopvaninhoudsopgave"/>
            <w:rPr>
              <w:rFonts w:ascii="Calibri" w:hAnsi="Calibri" w:cs="Calibri"/>
              <w:b w:val="0"/>
              <w:bCs w:val="0"/>
              <w:sz w:val="36"/>
              <w:szCs w:val="36"/>
            </w:rPr>
          </w:pPr>
          <w:r w:rsidRPr="00B50BB2">
            <w:rPr>
              <w:rFonts w:ascii="Calibri" w:hAnsi="Calibri" w:cs="Calibri"/>
              <w:b w:val="0"/>
              <w:bCs w:val="0"/>
              <w:sz w:val="36"/>
              <w:szCs w:val="36"/>
            </w:rPr>
            <w:t>Inhoudsopgave</w:t>
          </w:r>
        </w:p>
        <w:p w14:paraId="4C7F4B4C" w14:textId="70CF4129" w:rsidR="00E16512" w:rsidRDefault="00C137B6">
          <w:pPr>
            <w:pStyle w:val="Inhopg1"/>
            <w:tabs>
              <w:tab w:val="right" w:leader="dot" w:pos="13994"/>
            </w:tabs>
            <w:rPr>
              <w:rFonts w:eastAsiaTheme="minorEastAsia"/>
              <w:b w:val="0"/>
              <w:bCs w:val="0"/>
              <w:noProof/>
              <w:sz w:val="24"/>
              <w:szCs w:val="24"/>
              <w:lang w:eastAsia="nl-NL"/>
            </w:rPr>
          </w:pPr>
          <w:r>
            <w:rPr>
              <w:b w:val="0"/>
              <w:bCs w:val="0"/>
            </w:rPr>
            <w:fldChar w:fldCharType="begin"/>
          </w:r>
          <w:r>
            <w:instrText>TOC \o "1-3" \h \z \u</w:instrText>
          </w:r>
          <w:r>
            <w:rPr>
              <w:b w:val="0"/>
              <w:bCs w:val="0"/>
            </w:rPr>
            <w:fldChar w:fldCharType="separate"/>
          </w:r>
          <w:hyperlink w:anchor="_Toc229518435" w:history="1">
            <w:r w:rsidR="00E16512" w:rsidRPr="00C06589">
              <w:rPr>
                <w:rStyle w:val="Hyperlink"/>
                <w:rFonts w:ascii="Calibri" w:hAnsi="Calibri" w:cs="Calibri"/>
                <w:noProof/>
              </w:rPr>
              <w:t>Samenvatting Verstandige Keuzes 2026</w:t>
            </w:r>
            <w:r w:rsidR="00E16512">
              <w:rPr>
                <w:noProof/>
                <w:webHidden/>
              </w:rPr>
              <w:tab/>
            </w:r>
            <w:r w:rsidR="00E16512">
              <w:rPr>
                <w:noProof/>
                <w:webHidden/>
              </w:rPr>
              <w:fldChar w:fldCharType="begin"/>
            </w:r>
            <w:r w:rsidR="00E16512">
              <w:rPr>
                <w:noProof/>
                <w:webHidden/>
              </w:rPr>
              <w:instrText xml:space="preserve"> PAGEREF _Toc229518435 \h </w:instrText>
            </w:r>
            <w:r w:rsidR="00E16512">
              <w:rPr>
                <w:noProof/>
                <w:webHidden/>
              </w:rPr>
            </w:r>
            <w:r w:rsidR="00E16512">
              <w:rPr>
                <w:noProof/>
                <w:webHidden/>
              </w:rPr>
              <w:fldChar w:fldCharType="separate"/>
            </w:r>
            <w:r w:rsidR="00512338">
              <w:rPr>
                <w:noProof/>
                <w:webHidden/>
              </w:rPr>
              <w:t>3</w:t>
            </w:r>
            <w:r w:rsidR="00E16512">
              <w:rPr>
                <w:noProof/>
                <w:webHidden/>
              </w:rPr>
              <w:fldChar w:fldCharType="end"/>
            </w:r>
          </w:hyperlink>
        </w:p>
        <w:p w14:paraId="4A788FEE" w14:textId="42E8A737" w:rsidR="00E16512" w:rsidRDefault="00E16512">
          <w:pPr>
            <w:pStyle w:val="Inhopg1"/>
            <w:tabs>
              <w:tab w:val="right" w:leader="dot" w:pos="13994"/>
            </w:tabs>
            <w:rPr>
              <w:rFonts w:eastAsiaTheme="minorEastAsia"/>
              <w:b w:val="0"/>
              <w:bCs w:val="0"/>
              <w:noProof/>
              <w:sz w:val="24"/>
              <w:szCs w:val="24"/>
              <w:lang w:eastAsia="nl-NL"/>
            </w:rPr>
          </w:pPr>
          <w:hyperlink w:anchor="_Toc229518436" w:history="1">
            <w:r w:rsidRPr="00C06589">
              <w:rPr>
                <w:rStyle w:val="Hyperlink"/>
                <w:rFonts w:ascii="Calibri" w:hAnsi="Calibri" w:cs="Calibri"/>
                <w:noProof/>
              </w:rPr>
              <w:t>Inleiding en doel</w:t>
            </w:r>
            <w:r>
              <w:rPr>
                <w:noProof/>
                <w:webHidden/>
              </w:rPr>
              <w:tab/>
            </w:r>
            <w:r>
              <w:rPr>
                <w:noProof/>
                <w:webHidden/>
              </w:rPr>
              <w:fldChar w:fldCharType="begin"/>
            </w:r>
            <w:r>
              <w:rPr>
                <w:noProof/>
                <w:webHidden/>
              </w:rPr>
              <w:instrText xml:space="preserve"> PAGEREF _Toc229518436 \h </w:instrText>
            </w:r>
            <w:r>
              <w:rPr>
                <w:noProof/>
                <w:webHidden/>
              </w:rPr>
            </w:r>
            <w:r>
              <w:rPr>
                <w:noProof/>
                <w:webHidden/>
              </w:rPr>
              <w:fldChar w:fldCharType="separate"/>
            </w:r>
            <w:r w:rsidR="00512338">
              <w:rPr>
                <w:noProof/>
                <w:webHidden/>
              </w:rPr>
              <w:t>4</w:t>
            </w:r>
            <w:r>
              <w:rPr>
                <w:noProof/>
                <w:webHidden/>
              </w:rPr>
              <w:fldChar w:fldCharType="end"/>
            </w:r>
          </w:hyperlink>
        </w:p>
        <w:p w14:paraId="0E3677D4" w14:textId="27B28647" w:rsidR="00E16512" w:rsidRDefault="00E16512">
          <w:pPr>
            <w:pStyle w:val="Inhopg1"/>
            <w:tabs>
              <w:tab w:val="right" w:leader="dot" w:pos="13994"/>
            </w:tabs>
            <w:rPr>
              <w:rFonts w:eastAsiaTheme="minorEastAsia"/>
              <w:b w:val="0"/>
              <w:bCs w:val="0"/>
              <w:noProof/>
              <w:sz w:val="24"/>
              <w:szCs w:val="24"/>
              <w:lang w:eastAsia="nl-NL"/>
            </w:rPr>
          </w:pPr>
          <w:hyperlink w:anchor="_Toc229518437" w:history="1">
            <w:r w:rsidRPr="00C06589">
              <w:rPr>
                <w:rStyle w:val="Hyperlink"/>
                <w:rFonts w:ascii="Calibri" w:hAnsi="Calibri" w:cs="Calibri"/>
                <w:noProof/>
              </w:rPr>
              <w:t>Afbakening en werkwijze</w:t>
            </w:r>
            <w:r>
              <w:rPr>
                <w:noProof/>
                <w:webHidden/>
              </w:rPr>
              <w:tab/>
            </w:r>
            <w:r>
              <w:rPr>
                <w:noProof/>
                <w:webHidden/>
              </w:rPr>
              <w:fldChar w:fldCharType="begin"/>
            </w:r>
            <w:r>
              <w:rPr>
                <w:noProof/>
                <w:webHidden/>
              </w:rPr>
              <w:instrText xml:space="preserve"> PAGEREF _Toc229518437 \h </w:instrText>
            </w:r>
            <w:r>
              <w:rPr>
                <w:noProof/>
                <w:webHidden/>
              </w:rPr>
            </w:r>
            <w:r>
              <w:rPr>
                <w:noProof/>
                <w:webHidden/>
              </w:rPr>
              <w:fldChar w:fldCharType="separate"/>
            </w:r>
            <w:r w:rsidR="00512338">
              <w:rPr>
                <w:noProof/>
                <w:webHidden/>
              </w:rPr>
              <w:t>5</w:t>
            </w:r>
            <w:r>
              <w:rPr>
                <w:noProof/>
                <w:webHidden/>
              </w:rPr>
              <w:fldChar w:fldCharType="end"/>
            </w:r>
          </w:hyperlink>
        </w:p>
        <w:p w14:paraId="5A9FB5BD" w14:textId="1D513B89" w:rsidR="00E16512" w:rsidRDefault="00E16512">
          <w:pPr>
            <w:pStyle w:val="Inhopg1"/>
            <w:tabs>
              <w:tab w:val="right" w:leader="dot" w:pos="13994"/>
            </w:tabs>
            <w:rPr>
              <w:rFonts w:eastAsiaTheme="minorEastAsia"/>
              <w:b w:val="0"/>
              <w:bCs w:val="0"/>
              <w:noProof/>
              <w:sz w:val="24"/>
              <w:szCs w:val="24"/>
              <w:lang w:eastAsia="nl-NL"/>
            </w:rPr>
          </w:pPr>
          <w:hyperlink w:anchor="_Toc229518438" w:history="1">
            <w:r w:rsidRPr="00C06589">
              <w:rPr>
                <w:rStyle w:val="Hyperlink"/>
                <w:rFonts w:ascii="Calibri" w:hAnsi="Calibri" w:cs="Calibri"/>
                <w:noProof/>
              </w:rPr>
              <w:t>Toelichting bij geselecteerde verstandige keuzes</w:t>
            </w:r>
            <w:r>
              <w:rPr>
                <w:noProof/>
                <w:webHidden/>
              </w:rPr>
              <w:tab/>
            </w:r>
            <w:r>
              <w:rPr>
                <w:noProof/>
                <w:webHidden/>
              </w:rPr>
              <w:fldChar w:fldCharType="begin"/>
            </w:r>
            <w:r>
              <w:rPr>
                <w:noProof/>
                <w:webHidden/>
              </w:rPr>
              <w:instrText xml:space="preserve"> PAGEREF _Toc229518438 \h </w:instrText>
            </w:r>
            <w:r>
              <w:rPr>
                <w:noProof/>
                <w:webHidden/>
              </w:rPr>
            </w:r>
            <w:r>
              <w:rPr>
                <w:noProof/>
                <w:webHidden/>
              </w:rPr>
              <w:fldChar w:fldCharType="separate"/>
            </w:r>
            <w:r w:rsidR="00512338">
              <w:rPr>
                <w:noProof/>
                <w:webHidden/>
              </w:rPr>
              <w:t>6</w:t>
            </w:r>
            <w:r>
              <w:rPr>
                <w:noProof/>
                <w:webHidden/>
              </w:rPr>
              <w:fldChar w:fldCharType="end"/>
            </w:r>
          </w:hyperlink>
        </w:p>
        <w:p w14:paraId="3C0BF691" w14:textId="49B928EA" w:rsidR="00E16512" w:rsidRDefault="00E16512">
          <w:pPr>
            <w:pStyle w:val="Inhopg1"/>
            <w:tabs>
              <w:tab w:val="right" w:leader="dot" w:pos="13994"/>
            </w:tabs>
            <w:rPr>
              <w:rFonts w:eastAsiaTheme="minorEastAsia"/>
              <w:b w:val="0"/>
              <w:bCs w:val="0"/>
              <w:noProof/>
              <w:sz w:val="24"/>
              <w:szCs w:val="24"/>
              <w:lang w:eastAsia="nl-NL"/>
            </w:rPr>
          </w:pPr>
          <w:hyperlink w:anchor="_Toc229518439" w:history="1">
            <w:r w:rsidRPr="00C06589">
              <w:rPr>
                <w:rStyle w:val="Hyperlink"/>
                <w:noProof/>
              </w:rPr>
              <w:t>Verdere uitwerking en implementatie</w:t>
            </w:r>
            <w:r>
              <w:rPr>
                <w:noProof/>
                <w:webHidden/>
              </w:rPr>
              <w:tab/>
            </w:r>
            <w:r>
              <w:rPr>
                <w:noProof/>
                <w:webHidden/>
              </w:rPr>
              <w:fldChar w:fldCharType="begin"/>
            </w:r>
            <w:r>
              <w:rPr>
                <w:noProof/>
                <w:webHidden/>
              </w:rPr>
              <w:instrText xml:space="preserve"> PAGEREF _Toc229518439 \h </w:instrText>
            </w:r>
            <w:r>
              <w:rPr>
                <w:noProof/>
                <w:webHidden/>
              </w:rPr>
            </w:r>
            <w:r>
              <w:rPr>
                <w:noProof/>
                <w:webHidden/>
              </w:rPr>
              <w:fldChar w:fldCharType="separate"/>
            </w:r>
            <w:r w:rsidR="00512338">
              <w:rPr>
                <w:noProof/>
                <w:webHidden/>
              </w:rPr>
              <w:t>10</w:t>
            </w:r>
            <w:r>
              <w:rPr>
                <w:noProof/>
                <w:webHidden/>
              </w:rPr>
              <w:fldChar w:fldCharType="end"/>
            </w:r>
          </w:hyperlink>
        </w:p>
        <w:p w14:paraId="31FEE986" w14:textId="74706D94" w:rsidR="00E16512" w:rsidRDefault="00E16512">
          <w:pPr>
            <w:pStyle w:val="Inhopg1"/>
            <w:tabs>
              <w:tab w:val="right" w:leader="dot" w:pos="13994"/>
            </w:tabs>
            <w:rPr>
              <w:rFonts w:eastAsiaTheme="minorEastAsia"/>
              <w:b w:val="0"/>
              <w:bCs w:val="0"/>
              <w:noProof/>
              <w:sz w:val="24"/>
              <w:szCs w:val="24"/>
              <w:lang w:eastAsia="nl-NL"/>
            </w:rPr>
          </w:pPr>
          <w:hyperlink w:anchor="_Toc229518440" w:history="1">
            <w:r w:rsidRPr="00C06589">
              <w:rPr>
                <w:rStyle w:val="Hyperlink"/>
                <w:noProof/>
              </w:rPr>
              <w:t>Samenstelling van de werkgroep</w:t>
            </w:r>
            <w:r>
              <w:rPr>
                <w:noProof/>
                <w:webHidden/>
              </w:rPr>
              <w:tab/>
            </w:r>
            <w:r>
              <w:rPr>
                <w:noProof/>
                <w:webHidden/>
              </w:rPr>
              <w:fldChar w:fldCharType="begin"/>
            </w:r>
            <w:r>
              <w:rPr>
                <w:noProof/>
                <w:webHidden/>
              </w:rPr>
              <w:instrText xml:space="preserve"> PAGEREF _Toc229518440 \h </w:instrText>
            </w:r>
            <w:r>
              <w:rPr>
                <w:noProof/>
                <w:webHidden/>
              </w:rPr>
            </w:r>
            <w:r>
              <w:rPr>
                <w:noProof/>
                <w:webHidden/>
              </w:rPr>
              <w:fldChar w:fldCharType="separate"/>
            </w:r>
            <w:r w:rsidR="00512338">
              <w:rPr>
                <w:noProof/>
                <w:webHidden/>
              </w:rPr>
              <w:t>12</w:t>
            </w:r>
            <w:r>
              <w:rPr>
                <w:noProof/>
                <w:webHidden/>
              </w:rPr>
              <w:fldChar w:fldCharType="end"/>
            </w:r>
          </w:hyperlink>
        </w:p>
        <w:p w14:paraId="4BC9AA99" w14:textId="1B519326" w:rsidR="00C137B6" w:rsidRDefault="00C137B6">
          <w:r>
            <w:rPr>
              <w:b/>
              <w:bCs/>
              <w:noProof/>
            </w:rPr>
            <w:fldChar w:fldCharType="end"/>
          </w:r>
        </w:p>
      </w:sdtContent>
    </w:sdt>
    <w:p w14:paraId="2AAD9AAD" w14:textId="77777777" w:rsidR="003B3D59" w:rsidRPr="007572D7" w:rsidRDefault="003B3D59">
      <w:pPr>
        <w:rPr>
          <w:rFonts w:ascii="Calibri" w:hAnsi="Calibri" w:cs="Calibri"/>
          <w:b/>
          <w:bCs/>
        </w:rPr>
      </w:pPr>
      <w:r w:rsidRPr="007572D7">
        <w:rPr>
          <w:rFonts w:ascii="Calibri" w:hAnsi="Calibri" w:cs="Calibri"/>
          <w:b/>
          <w:bCs/>
        </w:rPr>
        <w:br w:type="page"/>
      </w:r>
    </w:p>
    <w:p w14:paraId="1784B4C0" w14:textId="07FB7135" w:rsidR="0075649A" w:rsidRPr="00B50BB2" w:rsidRDefault="00FF3E9E" w:rsidP="00703B10">
      <w:pPr>
        <w:pStyle w:val="Kop1"/>
        <w:rPr>
          <w:rFonts w:ascii="Calibri" w:hAnsi="Calibri" w:cs="Calibri"/>
          <w:sz w:val="36"/>
          <w:szCs w:val="36"/>
        </w:rPr>
      </w:pPr>
      <w:bookmarkStart w:id="0" w:name="_Toc229513118"/>
      <w:bookmarkStart w:id="1" w:name="_Toc229518435"/>
      <w:r w:rsidRPr="00B50BB2">
        <w:rPr>
          <w:rFonts w:ascii="Calibri" w:hAnsi="Calibri" w:cs="Calibri"/>
          <w:sz w:val="36"/>
          <w:szCs w:val="36"/>
        </w:rPr>
        <w:lastRenderedPageBreak/>
        <w:t xml:space="preserve">Samenvatting </w:t>
      </w:r>
      <w:r w:rsidR="00237AB4" w:rsidRPr="00B50BB2">
        <w:rPr>
          <w:rFonts w:ascii="Calibri" w:hAnsi="Calibri" w:cs="Calibri"/>
          <w:sz w:val="36"/>
          <w:szCs w:val="36"/>
        </w:rPr>
        <w:t>V</w:t>
      </w:r>
      <w:r w:rsidRPr="00B50BB2">
        <w:rPr>
          <w:rFonts w:ascii="Calibri" w:hAnsi="Calibri" w:cs="Calibri"/>
          <w:sz w:val="36"/>
          <w:szCs w:val="36"/>
        </w:rPr>
        <w:t xml:space="preserve">erstandige </w:t>
      </w:r>
      <w:r w:rsidR="00237AB4" w:rsidRPr="00B50BB2">
        <w:rPr>
          <w:rFonts w:ascii="Calibri" w:hAnsi="Calibri" w:cs="Calibri"/>
          <w:sz w:val="36"/>
          <w:szCs w:val="36"/>
        </w:rPr>
        <w:t>Ke</w:t>
      </w:r>
      <w:r w:rsidRPr="00B50BB2">
        <w:rPr>
          <w:rFonts w:ascii="Calibri" w:hAnsi="Calibri" w:cs="Calibri"/>
          <w:sz w:val="36"/>
          <w:szCs w:val="36"/>
        </w:rPr>
        <w:t xml:space="preserve">uzes </w:t>
      </w:r>
      <w:r w:rsidR="00237AB4" w:rsidRPr="00B50BB2">
        <w:rPr>
          <w:rFonts w:ascii="Calibri" w:hAnsi="Calibri" w:cs="Calibri"/>
          <w:sz w:val="36"/>
          <w:szCs w:val="36"/>
        </w:rPr>
        <w:t>2026</w:t>
      </w:r>
      <w:bookmarkEnd w:id="0"/>
      <w:bookmarkEnd w:id="1"/>
    </w:p>
    <w:p w14:paraId="62305625" w14:textId="23040E93" w:rsidR="008248E2" w:rsidRPr="00703B10" w:rsidRDefault="00E1091B" w:rsidP="001F57C1">
      <w:pPr>
        <w:pStyle w:val="Kop3"/>
        <w:spacing w:after="0" w:line="276" w:lineRule="auto"/>
        <w:rPr>
          <w:rFonts w:ascii="Calibri" w:hAnsi="Calibri" w:cs="Calibri"/>
          <w:b/>
          <w:bCs/>
          <w:color w:val="0F9ED5" w:themeColor="accent4"/>
          <w:sz w:val="22"/>
          <w:szCs w:val="22"/>
        </w:rPr>
      </w:pPr>
      <w:r w:rsidRPr="00703B10">
        <w:rPr>
          <w:rFonts w:ascii="Calibri" w:hAnsi="Calibri" w:cs="Calibri"/>
          <w:b/>
          <w:bCs/>
          <w:color w:val="0F9ED5" w:themeColor="accent4"/>
          <w:sz w:val="22"/>
          <w:szCs w:val="22"/>
        </w:rPr>
        <w:t xml:space="preserve">Doelmatige </w:t>
      </w:r>
      <w:r w:rsidR="00AB6300" w:rsidRPr="00703B10">
        <w:rPr>
          <w:rFonts w:ascii="Calibri" w:hAnsi="Calibri" w:cs="Calibri"/>
          <w:b/>
          <w:bCs/>
          <w:color w:val="0F9ED5" w:themeColor="accent4"/>
          <w:sz w:val="22"/>
          <w:szCs w:val="22"/>
        </w:rPr>
        <w:t>verwijs</w:t>
      </w:r>
      <w:r w:rsidR="00895373" w:rsidRPr="00703B10">
        <w:rPr>
          <w:rFonts w:ascii="Calibri" w:hAnsi="Calibri" w:cs="Calibri"/>
          <w:b/>
          <w:bCs/>
          <w:color w:val="0F9ED5" w:themeColor="accent4"/>
          <w:sz w:val="22"/>
          <w:szCs w:val="22"/>
        </w:rPr>
        <w:t>- en triage</w:t>
      </w:r>
      <w:r w:rsidR="00C17C5E" w:rsidRPr="00703B10">
        <w:rPr>
          <w:rFonts w:ascii="Calibri" w:hAnsi="Calibri" w:cs="Calibri"/>
          <w:b/>
          <w:bCs/>
          <w:color w:val="0F9ED5" w:themeColor="accent4"/>
          <w:sz w:val="22"/>
          <w:szCs w:val="22"/>
        </w:rPr>
        <w:t>criteria in de neurolog</w:t>
      </w:r>
      <w:r w:rsidR="002C3AEB" w:rsidRPr="00703B10">
        <w:rPr>
          <w:rFonts w:ascii="Calibri" w:hAnsi="Calibri" w:cs="Calibri"/>
          <w:b/>
          <w:bCs/>
          <w:color w:val="0F9ED5" w:themeColor="accent4"/>
          <w:sz w:val="22"/>
          <w:szCs w:val="22"/>
        </w:rPr>
        <w:t>ie</w:t>
      </w:r>
    </w:p>
    <w:p w14:paraId="21F2D6AB" w14:textId="2610F685" w:rsidR="00703B10" w:rsidRPr="00B50BB2" w:rsidRDefault="00F02F08" w:rsidP="001F57C1">
      <w:pPr>
        <w:spacing w:line="276" w:lineRule="auto"/>
        <w:rPr>
          <w:rFonts w:ascii="Calibri" w:hAnsi="Calibri" w:cs="Calibri"/>
          <w:sz w:val="22"/>
          <w:szCs w:val="22"/>
        </w:rPr>
      </w:pPr>
      <w:r w:rsidRPr="00B50BB2">
        <w:rPr>
          <w:rFonts w:ascii="Calibri" w:eastAsiaTheme="minorHAnsi" w:hAnsi="Calibri" w:cs="Calibri"/>
          <w:sz w:val="22"/>
          <w:szCs w:val="22"/>
        </w:rPr>
        <w:t xml:space="preserve">Hanteer verwijs- en triagecriteria </w:t>
      </w:r>
      <w:r w:rsidR="0069035C" w:rsidRPr="00B50BB2">
        <w:rPr>
          <w:rFonts w:ascii="Calibri" w:hAnsi="Calibri" w:cs="Calibri"/>
          <w:sz w:val="22"/>
          <w:szCs w:val="22"/>
        </w:rPr>
        <w:t xml:space="preserve">bij </w:t>
      </w:r>
      <w:r w:rsidR="00D52F9C" w:rsidRPr="00B50BB2">
        <w:rPr>
          <w:rFonts w:ascii="Calibri" w:hAnsi="Calibri" w:cs="Calibri"/>
          <w:sz w:val="22"/>
          <w:szCs w:val="22"/>
        </w:rPr>
        <w:t xml:space="preserve">onderstaande </w:t>
      </w:r>
      <w:r w:rsidRPr="00B50BB2">
        <w:rPr>
          <w:rFonts w:ascii="Calibri" w:eastAsiaTheme="minorHAnsi" w:hAnsi="Calibri" w:cs="Calibri"/>
          <w:sz w:val="22"/>
          <w:szCs w:val="22"/>
        </w:rPr>
        <w:t xml:space="preserve">veelvoorkomende </w:t>
      </w:r>
      <w:r w:rsidR="00062697" w:rsidRPr="00B50BB2">
        <w:rPr>
          <w:rFonts w:ascii="Calibri" w:hAnsi="Calibri" w:cs="Calibri"/>
          <w:sz w:val="22"/>
          <w:szCs w:val="22"/>
        </w:rPr>
        <w:t xml:space="preserve">klachten waarvoor </w:t>
      </w:r>
      <w:r w:rsidR="00D30577" w:rsidRPr="00B50BB2">
        <w:rPr>
          <w:rFonts w:ascii="Calibri" w:hAnsi="Calibri" w:cs="Calibri"/>
          <w:sz w:val="22"/>
          <w:szCs w:val="22"/>
        </w:rPr>
        <w:t>patiënten</w:t>
      </w:r>
      <w:r w:rsidR="00062697" w:rsidRPr="00B50BB2">
        <w:rPr>
          <w:rFonts w:ascii="Calibri" w:hAnsi="Calibri" w:cs="Calibri"/>
          <w:sz w:val="22"/>
          <w:szCs w:val="22"/>
        </w:rPr>
        <w:t xml:space="preserve"> regelmatig naar de neurologie worden verwezen. </w:t>
      </w:r>
      <w:r w:rsidR="00D30577" w:rsidRPr="00B50BB2">
        <w:rPr>
          <w:rFonts w:ascii="Calibri" w:hAnsi="Calibri" w:cs="Calibri"/>
          <w:sz w:val="22"/>
          <w:szCs w:val="22"/>
        </w:rPr>
        <w:t xml:space="preserve">Beoordeel patiënten alleen wanneer </w:t>
      </w:r>
      <w:r w:rsidR="00047637" w:rsidRPr="00B50BB2">
        <w:rPr>
          <w:rFonts w:ascii="Calibri" w:hAnsi="Calibri" w:cs="Calibri"/>
          <w:sz w:val="22"/>
          <w:szCs w:val="22"/>
        </w:rPr>
        <w:t>dit geïndiceerd is zoals bij</w:t>
      </w:r>
      <w:r w:rsidR="00D30577" w:rsidRPr="00B50BB2">
        <w:rPr>
          <w:rFonts w:ascii="Calibri" w:hAnsi="Calibri" w:cs="Calibri"/>
          <w:sz w:val="22"/>
          <w:szCs w:val="22"/>
        </w:rPr>
        <w:t xml:space="preserve"> alarmsymptomen of diagnostische onzekerheid. </w:t>
      </w:r>
      <w:r w:rsidR="00636355" w:rsidRPr="00B50BB2">
        <w:rPr>
          <w:rFonts w:ascii="Calibri" w:hAnsi="Calibri" w:cs="Calibri"/>
          <w:sz w:val="22"/>
          <w:szCs w:val="22"/>
        </w:rPr>
        <w:t>Ondersteun een uniforme toepassing van deze criteria door borging in regionale werkafspraken en verwijsprocessen en door laagdrempelige digitale consultatiemogelijkheden.</w:t>
      </w:r>
    </w:p>
    <w:p w14:paraId="7B9B3176" w14:textId="77777777" w:rsidR="006505AF" w:rsidRPr="00B50BB2" w:rsidRDefault="006505AF" w:rsidP="001F57C1">
      <w:pPr>
        <w:spacing w:line="276" w:lineRule="auto"/>
        <w:rPr>
          <w:rFonts w:ascii="Calibri" w:hAnsi="Calibri" w:cs="Calibri"/>
          <w:sz w:val="22"/>
          <w:szCs w:val="22"/>
        </w:rPr>
      </w:pPr>
    </w:p>
    <w:p w14:paraId="749199AF" w14:textId="06353506" w:rsidR="006505AF" w:rsidRPr="00B50BB2" w:rsidRDefault="006505AF" w:rsidP="00170552">
      <w:pPr>
        <w:pStyle w:val="Lijstalinea"/>
        <w:numPr>
          <w:ilvl w:val="0"/>
          <w:numId w:val="6"/>
        </w:numPr>
        <w:spacing w:line="276" w:lineRule="auto"/>
        <w:rPr>
          <w:rFonts w:ascii="Calibri" w:hAnsi="Calibri" w:cs="Calibri"/>
          <w:sz w:val="22"/>
          <w:szCs w:val="22"/>
        </w:rPr>
      </w:pPr>
      <w:r w:rsidRPr="00B50BB2">
        <w:rPr>
          <w:rFonts w:ascii="Calibri" w:hAnsi="Calibri" w:cs="Calibri"/>
          <w:sz w:val="22"/>
          <w:szCs w:val="22"/>
        </w:rPr>
        <w:t xml:space="preserve">(Chronisch) duizeligheid </w:t>
      </w:r>
      <w:r w:rsidR="00506C3C" w:rsidRPr="00B50BB2">
        <w:rPr>
          <w:rFonts w:ascii="Calibri" w:hAnsi="Calibri" w:cs="Calibri"/>
          <w:sz w:val="22"/>
          <w:szCs w:val="22"/>
        </w:rPr>
        <w:t>(inclusief typische BPPD)</w:t>
      </w:r>
    </w:p>
    <w:p w14:paraId="639FE20C" w14:textId="45C1D420" w:rsidR="00506C3C" w:rsidRPr="00B50BB2" w:rsidRDefault="00506C3C" w:rsidP="00170552">
      <w:pPr>
        <w:pStyle w:val="Lijstalinea"/>
        <w:numPr>
          <w:ilvl w:val="0"/>
          <w:numId w:val="6"/>
        </w:numPr>
        <w:spacing w:line="276" w:lineRule="auto"/>
        <w:rPr>
          <w:rFonts w:ascii="Calibri" w:hAnsi="Calibri" w:cs="Calibri"/>
          <w:sz w:val="22"/>
          <w:szCs w:val="22"/>
        </w:rPr>
      </w:pPr>
      <w:r w:rsidRPr="00B50BB2">
        <w:rPr>
          <w:rFonts w:ascii="Calibri" w:hAnsi="Calibri" w:cs="Calibri"/>
          <w:sz w:val="22"/>
          <w:szCs w:val="22"/>
        </w:rPr>
        <w:t>Aspecifieke lage-rugpijn</w:t>
      </w:r>
    </w:p>
    <w:p w14:paraId="5B6A57A5" w14:textId="25320C5E" w:rsidR="00506C3C" w:rsidRPr="00B50BB2" w:rsidRDefault="00506C3C" w:rsidP="00170552">
      <w:pPr>
        <w:pStyle w:val="Lijstalinea"/>
        <w:numPr>
          <w:ilvl w:val="0"/>
          <w:numId w:val="6"/>
        </w:numPr>
        <w:spacing w:line="276" w:lineRule="auto"/>
        <w:rPr>
          <w:rFonts w:ascii="Calibri" w:hAnsi="Calibri" w:cs="Calibri"/>
          <w:sz w:val="22"/>
          <w:szCs w:val="22"/>
        </w:rPr>
      </w:pPr>
      <w:r w:rsidRPr="00B50BB2">
        <w:rPr>
          <w:rFonts w:ascii="Calibri" w:hAnsi="Calibri" w:cs="Calibri"/>
          <w:sz w:val="22"/>
          <w:szCs w:val="22"/>
        </w:rPr>
        <w:t>Post-</w:t>
      </w:r>
      <w:proofErr w:type="spellStart"/>
      <w:r w:rsidRPr="00B50BB2">
        <w:rPr>
          <w:rFonts w:ascii="Calibri" w:hAnsi="Calibri" w:cs="Calibri"/>
          <w:sz w:val="22"/>
          <w:szCs w:val="22"/>
        </w:rPr>
        <w:t>commontionele</w:t>
      </w:r>
      <w:proofErr w:type="spellEnd"/>
      <w:r w:rsidRPr="00B50BB2">
        <w:rPr>
          <w:rFonts w:ascii="Calibri" w:hAnsi="Calibri" w:cs="Calibri"/>
          <w:sz w:val="22"/>
          <w:szCs w:val="22"/>
        </w:rPr>
        <w:t xml:space="preserve"> klachten</w:t>
      </w:r>
    </w:p>
    <w:p w14:paraId="292FD809" w14:textId="4971E5CA" w:rsidR="00506C3C" w:rsidRPr="00B50BB2" w:rsidRDefault="0056502A" w:rsidP="00170552">
      <w:pPr>
        <w:pStyle w:val="Lijstalinea"/>
        <w:numPr>
          <w:ilvl w:val="0"/>
          <w:numId w:val="6"/>
        </w:numPr>
        <w:spacing w:line="276" w:lineRule="auto"/>
        <w:rPr>
          <w:rFonts w:ascii="Calibri" w:hAnsi="Calibri" w:cs="Calibri"/>
          <w:sz w:val="22"/>
          <w:szCs w:val="22"/>
        </w:rPr>
      </w:pPr>
      <w:r w:rsidRPr="00B50BB2">
        <w:rPr>
          <w:rFonts w:ascii="Calibri" w:hAnsi="Calibri" w:cs="Calibri"/>
          <w:sz w:val="22"/>
          <w:szCs w:val="22"/>
        </w:rPr>
        <w:t>Chronische spanningshoofdp</w:t>
      </w:r>
      <w:r w:rsidR="00554E3F" w:rsidRPr="00B50BB2">
        <w:rPr>
          <w:rFonts w:ascii="Calibri" w:hAnsi="Calibri" w:cs="Calibri"/>
          <w:sz w:val="22"/>
          <w:szCs w:val="22"/>
        </w:rPr>
        <w:t>ijn</w:t>
      </w:r>
    </w:p>
    <w:p w14:paraId="6D8FA1E5" w14:textId="77777777" w:rsidR="001F57C1" w:rsidRDefault="001F57C1" w:rsidP="001F57C1">
      <w:pPr>
        <w:pStyle w:val="Lijstalinea"/>
        <w:spacing w:after="0" w:line="276" w:lineRule="auto"/>
        <w:ind w:left="1080"/>
        <w:rPr>
          <w:rFonts w:ascii="Calibri" w:hAnsi="Calibri" w:cs="Calibri"/>
          <w:sz w:val="22"/>
          <w:szCs w:val="22"/>
        </w:rPr>
      </w:pPr>
    </w:p>
    <w:p w14:paraId="1DED0827" w14:textId="77777777" w:rsidR="001D17A6" w:rsidRPr="00703B10" w:rsidRDefault="001D17A6" w:rsidP="001F57C1">
      <w:pPr>
        <w:pStyle w:val="Lijstalinea"/>
        <w:spacing w:after="0" w:line="276" w:lineRule="auto"/>
        <w:ind w:left="1080"/>
        <w:rPr>
          <w:rFonts w:ascii="Calibri" w:hAnsi="Calibri" w:cs="Calibri"/>
          <w:sz w:val="22"/>
          <w:szCs w:val="22"/>
        </w:rPr>
      </w:pPr>
    </w:p>
    <w:p w14:paraId="7E26AD5A" w14:textId="43B5A9AC" w:rsidR="002361F4" w:rsidRPr="00B50BB2" w:rsidRDefault="002361F4" w:rsidP="00B50BB2">
      <w:pPr>
        <w:spacing w:line="276" w:lineRule="auto"/>
        <w:rPr>
          <w:rFonts w:ascii="Calibri" w:hAnsi="Calibri" w:cs="Calibri"/>
          <w:b/>
          <w:bCs/>
          <w:color w:val="0F9ED5" w:themeColor="accent4"/>
          <w:sz w:val="22"/>
          <w:szCs w:val="22"/>
        </w:rPr>
      </w:pPr>
      <w:r w:rsidRPr="00B50BB2">
        <w:rPr>
          <w:rFonts w:ascii="Calibri" w:hAnsi="Calibri" w:cs="Calibri"/>
          <w:b/>
          <w:bCs/>
          <w:color w:val="0F9ED5" w:themeColor="accent4"/>
          <w:sz w:val="22"/>
          <w:szCs w:val="22"/>
        </w:rPr>
        <w:t>Doelmatige epilepsie</w:t>
      </w:r>
      <w:r w:rsidR="002E5E0F" w:rsidRPr="00B50BB2">
        <w:rPr>
          <w:rFonts w:ascii="Calibri" w:hAnsi="Calibri" w:cs="Calibri"/>
          <w:b/>
          <w:bCs/>
          <w:color w:val="0F9ED5" w:themeColor="accent4"/>
          <w:sz w:val="22"/>
          <w:szCs w:val="22"/>
        </w:rPr>
        <w:t>zorg</w:t>
      </w:r>
      <w:r w:rsidRPr="00B50BB2">
        <w:rPr>
          <w:rFonts w:ascii="Calibri" w:hAnsi="Calibri" w:cs="Calibri"/>
          <w:b/>
          <w:bCs/>
          <w:color w:val="0F9ED5" w:themeColor="accent4"/>
          <w:sz w:val="22"/>
          <w:szCs w:val="22"/>
        </w:rPr>
        <w:t xml:space="preserve"> </w:t>
      </w:r>
    </w:p>
    <w:p w14:paraId="157ED023" w14:textId="77777777" w:rsidR="00703B10" w:rsidRPr="00703B10" w:rsidRDefault="00703B10" w:rsidP="001F57C1">
      <w:pPr>
        <w:spacing w:line="276" w:lineRule="auto"/>
        <w:rPr>
          <w:rFonts w:ascii="Calibri" w:hAnsi="Calibri" w:cs="Calibri"/>
          <w:sz w:val="22"/>
          <w:szCs w:val="22"/>
        </w:rPr>
      </w:pPr>
    </w:p>
    <w:p w14:paraId="2CD56064" w14:textId="2CEDC35E" w:rsidR="002361F4" w:rsidRPr="00703B10" w:rsidRDefault="002361F4" w:rsidP="00170552">
      <w:pPr>
        <w:pStyle w:val="Lijstalinea"/>
        <w:numPr>
          <w:ilvl w:val="0"/>
          <w:numId w:val="6"/>
        </w:numPr>
        <w:spacing w:after="0" w:line="276" w:lineRule="auto"/>
        <w:rPr>
          <w:rFonts w:ascii="Calibri" w:hAnsi="Calibri" w:cs="Calibri"/>
          <w:sz w:val="22"/>
          <w:szCs w:val="22"/>
        </w:rPr>
      </w:pPr>
      <w:r w:rsidRPr="00703B10">
        <w:rPr>
          <w:rFonts w:ascii="Calibri" w:hAnsi="Calibri" w:cs="Calibri"/>
          <w:sz w:val="22"/>
          <w:szCs w:val="22"/>
        </w:rPr>
        <w:t>Plan bij patiënten met ≥2 jaar stabiele epilepsie geen routinematige tweedelijns follow-up. Overweeg follow-up alleen bij specifieke risicofactoren of specifieke anti-aanvalsbehandelingen.</w:t>
      </w:r>
    </w:p>
    <w:p w14:paraId="10DF9833" w14:textId="77777777" w:rsidR="002361F4" w:rsidRPr="00703B10" w:rsidRDefault="002361F4" w:rsidP="00170552">
      <w:pPr>
        <w:pStyle w:val="Lijstalinea"/>
        <w:numPr>
          <w:ilvl w:val="0"/>
          <w:numId w:val="6"/>
        </w:numPr>
        <w:spacing w:after="0" w:line="276" w:lineRule="auto"/>
        <w:rPr>
          <w:rFonts w:ascii="Calibri" w:hAnsi="Calibri" w:cs="Calibri"/>
          <w:sz w:val="22"/>
          <w:szCs w:val="22"/>
        </w:rPr>
      </w:pPr>
      <w:r w:rsidRPr="00703B10">
        <w:rPr>
          <w:rFonts w:ascii="Calibri" w:hAnsi="Calibri" w:cs="Calibri"/>
          <w:sz w:val="22"/>
          <w:szCs w:val="22"/>
        </w:rPr>
        <w:t>Maak niet standaard een EEG voorafgaand aan het afbouwen van anti-aanvalsmedicatie bij stabiele patiënten.</w:t>
      </w:r>
    </w:p>
    <w:p w14:paraId="6CDE9505" w14:textId="77777777" w:rsidR="002361F4" w:rsidRPr="00703B10" w:rsidRDefault="002361F4" w:rsidP="00170552">
      <w:pPr>
        <w:pStyle w:val="Lijstalinea"/>
        <w:numPr>
          <w:ilvl w:val="0"/>
          <w:numId w:val="6"/>
        </w:numPr>
        <w:spacing w:after="0" w:line="276" w:lineRule="auto"/>
        <w:rPr>
          <w:rFonts w:ascii="Calibri" w:hAnsi="Calibri" w:cs="Calibri"/>
          <w:sz w:val="22"/>
          <w:szCs w:val="22"/>
        </w:rPr>
      </w:pPr>
      <w:r w:rsidRPr="00703B10">
        <w:rPr>
          <w:rFonts w:ascii="Calibri" w:hAnsi="Calibri" w:cs="Calibri"/>
          <w:sz w:val="22"/>
          <w:szCs w:val="22"/>
        </w:rPr>
        <w:t>Vraag geen routinematige spiegelbepalingen van anti-aanvalsmedicatie aan zonder klinische aanleiding of dosiswijziging.</w:t>
      </w:r>
    </w:p>
    <w:p w14:paraId="28D79826" w14:textId="1957218B" w:rsidR="008248E2" w:rsidRPr="00D95420" w:rsidRDefault="002361F4" w:rsidP="00170552">
      <w:pPr>
        <w:pStyle w:val="Lijstalinea"/>
        <w:numPr>
          <w:ilvl w:val="0"/>
          <w:numId w:val="6"/>
        </w:numPr>
        <w:spacing w:after="0" w:line="276" w:lineRule="auto"/>
        <w:rPr>
          <w:rFonts w:ascii="Calibri" w:hAnsi="Calibri" w:cs="Calibri"/>
          <w:sz w:val="22"/>
          <w:szCs w:val="22"/>
        </w:rPr>
      </w:pPr>
      <w:r w:rsidRPr="00D95420">
        <w:rPr>
          <w:rFonts w:ascii="Calibri" w:hAnsi="Calibri" w:cs="Calibri"/>
          <w:sz w:val="22"/>
          <w:szCs w:val="22"/>
        </w:rPr>
        <w:t xml:space="preserve">Bepaal </w:t>
      </w:r>
      <w:r w:rsidR="00DB5DAE" w:rsidRPr="00D95420">
        <w:rPr>
          <w:rFonts w:ascii="Calibri" w:hAnsi="Calibri" w:cs="Calibri"/>
          <w:sz w:val="22"/>
          <w:szCs w:val="22"/>
        </w:rPr>
        <w:t>niet standaard een uitgebreid ele</w:t>
      </w:r>
      <w:r w:rsidR="00D75227" w:rsidRPr="00D95420">
        <w:rPr>
          <w:rFonts w:ascii="Calibri" w:hAnsi="Calibri" w:cs="Calibri"/>
          <w:sz w:val="22"/>
          <w:szCs w:val="22"/>
        </w:rPr>
        <w:t>k</w:t>
      </w:r>
      <w:r w:rsidR="00DB5DAE" w:rsidRPr="00D95420">
        <w:rPr>
          <w:rFonts w:ascii="Calibri" w:hAnsi="Calibri" w:cs="Calibri"/>
          <w:sz w:val="22"/>
          <w:szCs w:val="22"/>
        </w:rPr>
        <w:t xml:space="preserve">trolytenpakket </w:t>
      </w:r>
      <w:r w:rsidRPr="00D95420">
        <w:rPr>
          <w:rFonts w:ascii="Calibri" w:hAnsi="Calibri" w:cs="Calibri"/>
          <w:sz w:val="22"/>
          <w:szCs w:val="22"/>
        </w:rPr>
        <w:t>na een epileptisch insult op de SEH. Bepaal alleen elektrolyten die klinisch relevant zijn op basis van presentatie of voorgeschiedenis.</w:t>
      </w:r>
    </w:p>
    <w:p w14:paraId="2CC33E7C" w14:textId="77777777" w:rsidR="00066BBC" w:rsidRPr="00D95420" w:rsidRDefault="00066BBC" w:rsidP="00170552">
      <w:pPr>
        <w:pStyle w:val="Lijstalinea"/>
        <w:numPr>
          <w:ilvl w:val="0"/>
          <w:numId w:val="6"/>
        </w:numPr>
        <w:spacing w:after="0" w:line="276" w:lineRule="auto"/>
        <w:rPr>
          <w:rFonts w:ascii="Calibri" w:hAnsi="Calibri" w:cs="Calibri"/>
          <w:sz w:val="22"/>
          <w:szCs w:val="22"/>
        </w:rPr>
      </w:pPr>
      <w:bookmarkStart w:id="2" w:name="_Toc229513119"/>
      <w:bookmarkStart w:id="3" w:name="_Toc229518436"/>
      <w:r w:rsidRPr="00D95420">
        <w:rPr>
          <w:rFonts w:ascii="Calibri" w:hAnsi="Calibri" w:cs="Calibri"/>
          <w:sz w:val="22"/>
          <w:szCs w:val="22"/>
        </w:rPr>
        <w:br w:type="page"/>
      </w:r>
    </w:p>
    <w:p w14:paraId="1396E7B5" w14:textId="11E22C1E" w:rsidR="00E94AF4" w:rsidRPr="00B50BB2" w:rsidRDefault="00E94AF4" w:rsidP="00B50BB2">
      <w:pPr>
        <w:pStyle w:val="Kop1"/>
        <w:spacing w:before="0"/>
        <w:rPr>
          <w:rFonts w:ascii="Calibri" w:hAnsi="Calibri" w:cs="Calibri"/>
          <w:sz w:val="36"/>
          <w:szCs w:val="36"/>
        </w:rPr>
      </w:pPr>
      <w:r w:rsidRPr="00B50BB2">
        <w:rPr>
          <w:rFonts w:ascii="Calibri" w:hAnsi="Calibri" w:cs="Calibri"/>
          <w:sz w:val="36"/>
          <w:szCs w:val="36"/>
        </w:rPr>
        <w:lastRenderedPageBreak/>
        <w:t>Inleiding en doel</w:t>
      </w:r>
      <w:bookmarkEnd w:id="2"/>
      <w:bookmarkEnd w:id="3"/>
      <w:r w:rsidRPr="00B50BB2">
        <w:rPr>
          <w:rFonts w:ascii="Calibri" w:hAnsi="Calibri" w:cs="Calibri"/>
          <w:sz w:val="36"/>
          <w:szCs w:val="36"/>
        </w:rPr>
        <w:t xml:space="preserve"> </w:t>
      </w:r>
    </w:p>
    <w:p w14:paraId="710BF199" w14:textId="4F06A3CC" w:rsidR="00DF0B0D" w:rsidRPr="00D251DE" w:rsidRDefault="00DF0B0D" w:rsidP="00DF0B0D">
      <w:pPr>
        <w:pStyle w:val="Normaalweb"/>
        <w:rPr>
          <w:rFonts w:ascii="Calibri" w:hAnsi="Calibri" w:cs="Calibri"/>
          <w:sz w:val="22"/>
          <w:szCs w:val="22"/>
        </w:rPr>
      </w:pPr>
      <w:r w:rsidRPr="00D251DE">
        <w:rPr>
          <w:rFonts w:ascii="Calibri" w:hAnsi="Calibri" w:cs="Calibri"/>
          <w:sz w:val="22"/>
          <w:szCs w:val="22"/>
        </w:rPr>
        <w:t xml:space="preserve">De toegankelijkheid van de zorg staat onder druk. Ook binnen de neurologie nemen de zorgvraag, complexiteit van </w:t>
      </w:r>
      <w:r w:rsidR="002313CA">
        <w:rPr>
          <w:rFonts w:ascii="Calibri" w:hAnsi="Calibri" w:cs="Calibri"/>
          <w:sz w:val="22"/>
          <w:szCs w:val="22"/>
        </w:rPr>
        <w:t xml:space="preserve">de </w:t>
      </w:r>
      <w:r w:rsidRPr="00D251DE">
        <w:rPr>
          <w:rFonts w:ascii="Calibri" w:hAnsi="Calibri" w:cs="Calibri"/>
          <w:sz w:val="22"/>
          <w:szCs w:val="22"/>
        </w:rPr>
        <w:t>zorg</w:t>
      </w:r>
      <w:r w:rsidR="002313CA">
        <w:rPr>
          <w:rFonts w:ascii="Calibri" w:hAnsi="Calibri" w:cs="Calibri"/>
          <w:sz w:val="22"/>
          <w:szCs w:val="22"/>
        </w:rPr>
        <w:t>vraag</w:t>
      </w:r>
      <w:r w:rsidRPr="00D251DE">
        <w:rPr>
          <w:rFonts w:ascii="Calibri" w:hAnsi="Calibri" w:cs="Calibri"/>
          <w:sz w:val="22"/>
          <w:szCs w:val="22"/>
        </w:rPr>
        <w:t xml:space="preserve"> en druk op beschikbare capaciteit toe. Tegelijkertijd groeit de aandacht voor passende zorg: zorg die aantoonbaar waarde toevoegt voor de patiënt en doelmatig wordt ingezet.</w:t>
      </w:r>
      <w:r w:rsidR="005A469C" w:rsidRPr="00D251DE">
        <w:rPr>
          <w:rFonts w:ascii="Calibri" w:hAnsi="Calibri" w:cs="Calibri"/>
          <w:sz w:val="22"/>
          <w:szCs w:val="22"/>
        </w:rPr>
        <w:t xml:space="preserve"> Dit vraagt om scherpe keuzes over welke zorg wanneer en door wie wordt geleverd.</w:t>
      </w:r>
    </w:p>
    <w:p w14:paraId="607D631D" w14:textId="7E0894D9" w:rsidR="001B3704" w:rsidRPr="00D251DE" w:rsidRDefault="001B3704" w:rsidP="001B3704">
      <w:pPr>
        <w:pStyle w:val="Normaalweb"/>
        <w:rPr>
          <w:rFonts w:ascii="Calibri" w:hAnsi="Calibri" w:cs="Calibri"/>
          <w:b/>
          <w:bCs/>
          <w:sz w:val="22"/>
          <w:szCs w:val="22"/>
        </w:rPr>
      </w:pPr>
      <w:r w:rsidRPr="00D251DE">
        <w:rPr>
          <w:rStyle w:val="Zwaar"/>
          <w:rFonts w:ascii="Calibri" w:eastAsiaTheme="majorEastAsia" w:hAnsi="Calibri" w:cs="Calibri"/>
          <w:b w:val="0"/>
          <w:bCs w:val="0"/>
          <w:sz w:val="22"/>
          <w:szCs w:val="22"/>
        </w:rPr>
        <w:t xml:space="preserve">De totstandkoming van </w:t>
      </w:r>
      <w:r w:rsidRPr="00D251DE">
        <w:rPr>
          <w:rStyle w:val="Zwaar"/>
          <w:rFonts w:ascii="Calibri" w:eastAsiaTheme="majorEastAsia" w:hAnsi="Calibri" w:cs="Calibri"/>
          <w:b w:val="0"/>
          <w:bCs w:val="0"/>
          <w:i/>
          <w:iCs/>
          <w:sz w:val="22"/>
          <w:szCs w:val="22"/>
        </w:rPr>
        <w:t>Verstandige Keuzes Neurologie 2026</w:t>
      </w:r>
      <w:r w:rsidRPr="00D251DE">
        <w:rPr>
          <w:rStyle w:val="Zwaar"/>
          <w:rFonts w:ascii="Calibri" w:eastAsiaTheme="majorEastAsia" w:hAnsi="Calibri" w:cs="Calibri"/>
          <w:b w:val="0"/>
          <w:bCs w:val="0"/>
          <w:sz w:val="22"/>
          <w:szCs w:val="22"/>
        </w:rPr>
        <w:t xml:space="preserve"> had als doel om, vanuit het perspectief van de neuroloog, onderwerpen te identificeren </w:t>
      </w:r>
      <w:r w:rsidR="00124B47" w:rsidRPr="00D251DE">
        <w:rPr>
          <w:rStyle w:val="Zwaar"/>
          <w:rFonts w:ascii="Calibri" w:eastAsiaTheme="majorEastAsia" w:hAnsi="Calibri" w:cs="Calibri"/>
          <w:b w:val="0"/>
          <w:bCs w:val="0"/>
          <w:sz w:val="22"/>
          <w:szCs w:val="22"/>
        </w:rPr>
        <w:t>die kunnen bijdragen aan passende, doelmatige en toekomstbestendige neurologische zorg.</w:t>
      </w:r>
    </w:p>
    <w:p w14:paraId="45503AAF" w14:textId="77777777" w:rsidR="001B3704" w:rsidRPr="00D251DE" w:rsidRDefault="001B3704" w:rsidP="001B3704">
      <w:pPr>
        <w:pStyle w:val="Normaalweb"/>
        <w:rPr>
          <w:rFonts w:ascii="Calibri" w:hAnsi="Calibri" w:cs="Calibri"/>
          <w:b/>
          <w:bCs/>
          <w:sz w:val="22"/>
          <w:szCs w:val="22"/>
        </w:rPr>
      </w:pPr>
      <w:r w:rsidRPr="00D251DE">
        <w:rPr>
          <w:rStyle w:val="Zwaar"/>
          <w:rFonts w:ascii="Calibri" w:eastAsiaTheme="majorEastAsia" w:hAnsi="Calibri" w:cs="Calibri"/>
          <w:b w:val="0"/>
          <w:bCs w:val="0"/>
          <w:sz w:val="22"/>
          <w:szCs w:val="22"/>
        </w:rPr>
        <w:t>Dit heeft geleid tot een gedragen selectie van aanbevelingen op het gebied van verwijs- en triagecriteria, monitoring en diagnostiek. De Verstandige Keuzes sluiten aan bij landelijke ontwikkelingen rondom passende zorg, gepast gebruik en de Landelijke MSZ-Implementatieagenda van het programma ZE&amp;GG.</w:t>
      </w:r>
    </w:p>
    <w:p w14:paraId="31E81BAC" w14:textId="77777777" w:rsidR="001B3704" w:rsidRPr="00D251DE" w:rsidRDefault="001B3704" w:rsidP="001B3704">
      <w:pPr>
        <w:pStyle w:val="Normaalweb"/>
        <w:rPr>
          <w:rFonts w:ascii="Calibri" w:hAnsi="Calibri" w:cs="Calibri"/>
          <w:b/>
          <w:bCs/>
          <w:sz w:val="22"/>
          <w:szCs w:val="22"/>
        </w:rPr>
      </w:pPr>
      <w:r w:rsidRPr="00D251DE">
        <w:rPr>
          <w:rStyle w:val="Zwaar"/>
          <w:rFonts w:ascii="Calibri" w:eastAsiaTheme="majorEastAsia" w:hAnsi="Calibri" w:cs="Calibri"/>
          <w:b w:val="0"/>
          <w:bCs w:val="0"/>
          <w:sz w:val="22"/>
          <w:szCs w:val="22"/>
        </w:rPr>
        <w:t>De aanbevelingen zijn bedoeld om neurologen te ondersteunen bij het maken van doelmatige keuzes in de dagelijkse praktijk. Daarmee dragen zij bij aan een passende inzet van neurologische zorg en een doelmatig gebruik van beschikbare capaciteit.</w:t>
      </w:r>
    </w:p>
    <w:p w14:paraId="4A7581F8" w14:textId="77777777" w:rsidR="003B3D59" w:rsidRPr="00DB4185" w:rsidRDefault="003B3D59">
      <w:pPr>
        <w:rPr>
          <w:rFonts w:ascii="Calibri" w:hAnsi="Calibri" w:cs="Calibri"/>
          <w:b/>
          <w:bCs/>
        </w:rPr>
      </w:pPr>
      <w:r w:rsidRPr="00DB4185">
        <w:rPr>
          <w:rFonts w:ascii="Calibri" w:hAnsi="Calibri" w:cs="Calibri"/>
          <w:b/>
          <w:bCs/>
        </w:rPr>
        <w:br w:type="page"/>
      </w:r>
    </w:p>
    <w:p w14:paraId="5861DDCF" w14:textId="141A27CC" w:rsidR="001F7E6C" w:rsidRPr="00B50BB2" w:rsidRDefault="001F7E6C" w:rsidP="00E04026">
      <w:pPr>
        <w:pStyle w:val="Kop1"/>
        <w:rPr>
          <w:rFonts w:ascii="Calibri" w:hAnsi="Calibri" w:cs="Calibri"/>
          <w:sz w:val="36"/>
          <w:szCs w:val="36"/>
        </w:rPr>
      </w:pPr>
      <w:bookmarkStart w:id="4" w:name="_Toc229513120"/>
      <w:bookmarkStart w:id="5" w:name="_Toc229518437"/>
      <w:r w:rsidRPr="00B50BB2">
        <w:rPr>
          <w:rFonts w:ascii="Calibri" w:hAnsi="Calibri" w:cs="Calibri"/>
          <w:sz w:val="36"/>
          <w:szCs w:val="36"/>
        </w:rPr>
        <w:lastRenderedPageBreak/>
        <w:t xml:space="preserve">Afbakening en </w:t>
      </w:r>
      <w:r w:rsidR="00C57ACF" w:rsidRPr="00B50BB2">
        <w:rPr>
          <w:rFonts w:ascii="Calibri" w:hAnsi="Calibri" w:cs="Calibri"/>
          <w:sz w:val="36"/>
          <w:szCs w:val="36"/>
        </w:rPr>
        <w:t>werkwijze</w:t>
      </w:r>
      <w:bookmarkEnd w:id="4"/>
      <w:bookmarkEnd w:id="5"/>
    </w:p>
    <w:p w14:paraId="1CE4625A" w14:textId="1F246C88" w:rsidR="00DB4185" w:rsidRPr="00D251DE" w:rsidRDefault="00DB4185" w:rsidP="00DB4185">
      <w:pPr>
        <w:pStyle w:val="Normaalweb"/>
        <w:rPr>
          <w:rFonts w:ascii="Calibri" w:hAnsi="Calibri" w:cs="Calibri"/>
          <w:sz w:val="22"/>
          <w:szCs w:val="22"/>
        </w:rPr>
      </w:pPr>
      <w:r w:rsidRPr="00D251DE">
        <w:rPr>
          <w:rFonts w:ascii="Calibri" w:hAnsi="Calibri" w:cs="Calibri"/>
          <w:sz w:val="22"/>
          <w:szCs w:val="22"/>
        </w:rPr>
        <w:t xml:space="preserve">De Verstandige Keuzes Neurologie 2026 zijn ontwikkeld binnen de uitgangspunten van passende zorg, gepast gebruik en duurzame inzetbaarheid van de neurologische zorg. </w:t>
      </w:r>
    </w:p>
    <w:p w14:paraId="79693A20" w14:textId="0ED06999" w:rsidR="00DD51B6" w:rsidRPr="00D251DE" w:rsidRDefault="00DD51B6" w:rsidP="00DD51B6">
      <w:pPr>
        <w:pStyle w:val="Normaalweb"/>
        <w:rPr>
          <w:rFonts w:ascii="Calibri" w:hAnsi="Calibri" w:cs="Calibri"/>
          <w:sz w:val="22"/>
          <w:szCs w:val="22"/>
        </w:rPr>
      </w:pPr>
      <w:r w:rsidRPr="00D251DE">
        <w:rPr>
          <w:rFonts w:ascii="Calibri" w:hAnsi="Calibri" w:cs="Calibri"/>
          <w:sz w:val="22"/>
          <w:szCs w:val="22"/>
        </w:rPr>
        <w:t xml:space="preserve">Bij de selectie is gekeken naar aanbevelingen en onderwerpen met potentieel voor implementatie of de-implementatie. </w:t>
      </w:r>
      <w:r w:rsidR="00C95305" w:rsidRPr="00D251DE">
        <w:rPr>
          <w:rFonts w:ascii="Calibri" w:hAnsi="Calibri" w:cs="Calibri"/>
          <w:sz w:val="22"/>
          <w:szCs w:val="22"/>
        </w:rPr>
        <w:t>Hiervoor zijn bestaande NVN-richtlijnen beoordeeld en is input opgehaald bij NVN-leden.</w:t>
      </w:r>
      <w:r w:rsidR="00C95305">
        <w:rPr>
          <w:rFonts w:ascii="Calibri" w:hAnsi="Calibri" w:cs="Calibri"/>
          <w:sz w:val="22"/>
          <w:szCs w:val="22"/>
        </w:rPr>
        <w:t xml:space="preserve"> </w:t>
      </w:r>
      <w:r w:rsidRPr="00D251DE">
        <w:rPr>
          <w:rFonts w:ascii="Calibri" w:hAnsi="Calibri" w:cs="Calibri"/>
          <w:sz w:val="22"/>
          <w:szCs w:val="22"/>
        </w:rPr>
        <w:t>Daarbij is specifiek aandacht besteed aan zorg die mogelijk onvoldoende waarde toevoegt, routinematig wordt toegepast zonder duidelijke meerwaarde, leidt tot praktijkvariatie of onnodig beslag legt op beschikbare capaciteit. Criteria die zijn meegewogen waren verbeterpotentieel, doelmatigheidswinst, praktijkvariatie, relevantie voor de dagelijkse praktijk en haalbaarheid van implementatie.</w:t>
      </w:r>
    </w:p>
    <w:p w14:paraId="54E7E94A" w14:textId="2A457395" w:rsidR="00DD51B6" w:rsidRPr="00D251DE" w:rsidRDefault="00DD51B6" w:rsidP="00DD51B6">
      <w:pPr>
        <w:pStyle w:val="Normaalweb"/>
        <w:rPr>
          <w:rFonts w:ascii="Calibri" w:hAnsi="Calibri" w:cs="Calibri"/>
          <w:sz w:val="22"/>
          <w:szCs w:val="22"/>
        </w:rPr>
      </w:pPr>
      <w:r w:rsidRPr="00D251DE">
        <w:rPr>
          <w:rFonts w:ascii="Calibri" w:hAnsi="Calibri" w:cs="Calibri"/>
          <w:sz w:val="22"/>
          <w:szCs w:val="22"/>
        </w:rPr>
        <w:t xml:space="preserve">De aanbevelingen zijn opgesteld door een projectgroep met vertegenwoordiging vanuit verschillende neurologische aandachtsgebieden, </w:t>
      </w:r>
      <w:r w:rsidR="000F3ECE">
        <w:rPr>
          <w:rFonts w:ascii="Calibri" w:hAnsi="Calibri" w:cs="Calibri"/>
          <w:sz w:val="22"/>
          <w:szCs w:val="22"/>
        </w:rPr>
        <w:t xml:space="preserve">met betrokkenheid van </w:t>
      </w:r>
      <w:r w:rsidRPr="00D251DE">
        <w:rPr>
          <w:rFonts w:ascii="Calibri" w:hAnsi="Calibri" w:cs="Calibri"/>
          <w:sz w:val="22"/>
          <w:szCs w:val="22"/>
        </w:rPr>
        <w:t xml:space="preserve">de NVN Commissie Richtlijnen en de NVN Commissie </w:t>
      </w:r>
      <w:r w:rsidR="000F3ECE">
        <w:rPr>
          <w:rFonts w:ascii="Calibri" w:hAnsi="Calibri" w:cs="Calibri"/>
          <w:sz w:val="22"/>
          <w:szCs w:val="22"/>
        </w:rPr>
        <w:t>Wetenschap (</w:t>
      </w:r>
      <w:r w:rsidRPr="00D251DE">
        <w:rPr>
          <w:rFonts w:ascii="Calibri" w:hAnsi="Calibri" w:cs="Calibri"/>
          <w:sz w:val="22"/>
          <w:szCs w:val="22"/>
        </w:rPr>
        <w:t>Zorgevaluatie</w:t>
      </w:r>
      <w:r w:rsidR="000F3ECE">
        <w:rPr>
          <w:rFonts w:ascii="Calibri" w:hAnsi="Calibri" w:cs="Calibri"/>
          <w:sz w:val="22"/>
          <w:szCs w:val="22"/>
        </w:rPr>
        <w:t>)</w:t>
      </w:r>
      <w:r w:rsidRPr="00D251DE">
        <w:rPr>
          <w:rFonts w:ascii="Calibri" w:hAnsi="Calibri" w:cs="Calibri"/>
          <w:sz w:val="22"/>
          <w:szCs w:val="22"/>
        </w:rPr>
        <w:t xml:space="preserve">. </w:t>
      </w:r>
    </w:p>
    <w:p w14:paraId="5FEDABE6" w14:textId="77777777" w:rsidR="00DD51B6" w:rsidRPr="00D251DE" w:rsidRDefault="00DD51B6" w:rsidP="00DD51B6">
      <w:pPr>
        <w:pStyle w:val="Normaalweb"/>
        <w:rPr>
          <w:rFonts w:ascii="Calibri" w:hAnsi="Calibri" w:cs="Calibri"/>
          <w:sz w:val="22"/>
          <w:szCs w:val="22"/>
        </w:rPr>
      </w:pPr>
      <w:r w:rsidRPr="00D251DE">
        <w:rPr>
          <w:rFonts w:ascii="Calibri" w:hAnsi="Calibri" w:cs="Calibri"/>
          <w:sz w:val="22"/>
          <w:szCs w:val="22"/>
        </w:rPr>
        <w:t>Dit heeft geleid tot een gedragen selectie van onderwerpen die relevant worden geacht voor passende en toekomstbestendige neurologische zorg.</w:t>
      </w:r>
    </w:p>
    <w:p w14:paraId="19D8BF4F" w14:textId="77777777" w:rsidR="00B94D32" w:rsidRPr="00D251DE" w:rsidRDefault="00B94D32">
      <w:pPr>
        <w:rPr>
          <w:rFonts w:ascii="Calibri" w:hAnsi="Calibri" w:cs="Calibri"/>
          <w:sz w:val="22"/>
          <w:szCs w:val="22"/>
        </w:rPr>
      </w:pPr>
    </w:p>
    <w:p w14:paraId="65745AB8" w14:textId="77777777" w:rsidR="001F7E6C" w:rsidRPr="007572D7" w:rsidRDefault="001F7E6C">
      <w:pPr>
        <w:rPr>
          <w:rFonts w:ascii="Calibri" w:hAnsi="Calibri" w:cs="Calibri"/>
        </w:rPr>
      </w:pPr>
    </w:p>
    <w:p w14:paraId="0427F7A5" w14:textId="77777777" w:rsidR="00E94AF4" w:rsidRPr="007572D7" w:rsidRDefault="00E94AF4">
      <w:pPr>
        <w:rPr>
          <w:rFonts w:ascii="Calibri" w:hAnsi="Calibri" w:cs="Calibri"/>
        </w:rPr>
      </w:pPr>
    </w:p>
    <w:p w14:paraId="6435CDEC" w14:textId="77777777" w:rsidR="00F61F4D" w:rsidRPr="007572D7" w:rsidRDefault="00F61F4D">
      <w:pPr>
        <w:rPr>
          <w:rFonts w:ascii="Calibri" w:hAnsi="Calibri" w:cs="Calibri"/>
        </w:rPr>
      </w:pPr>
      <w:r w:rsidRPr="007572D7">
        <w:rPr>
          <w:rFonts w:ascii="Calibri" w:hAnsi="Calibri" w:cs="Calibri"/>
        </w:rPr>
        <w:br w:type="page"/>
      </w:r>
    </w:p>
    <w:p w14:paraId="1A28CD08" w14:textId="4C052673" w:rsidR="00E44CA1" w:rsidRPr="00B50BB2" w:rsidRDefault="00F61F4D" w:rsidP="00E44CA1">
      <w:pPr>
        <w:pStyle w:val="Kop1"/>
        <w:rPr>
          <w:rFonts w:ascii="Calibri" w:hAnsi="Calibri" w:cs="Calibri"/>
          <w:sz w:val="36"/>
          <w:szCs w:val="36"/>
        </w:rPr>
      </w:pPr>
      <w:bookmarkStart w:id="6" w:name="_Toc229513122"/>
      <w:bookmarkStart w:id="7" w:name="_Toc229518438"/>
      <w:r w:rsidRPr="00B50BB2">
        <w:rPr>
          <w:rFonts w:ascii="Calibri" w:hAnsi="Calibri" w:cs="Calibri"/>
          <w:sz w:val="36"/>
          <w:szCs w:val="36"/>
        </w:rPr>
        <w:lastRenderedPageBreak/>
        <w:t>Toelichting bij geselecteerde verstandige keuzes</w:t>
      </w:r>
      <w:bookmarkEnd w:id="6"/>
      <w:bookmarkEnd w:id="7"/>
      <w:r w:rsidRPr="00B50BB2">
        <w:rPr>
          <w:rFonts w:ascii="Calibri" w:hAnsi="Calibri" w:cs="Calibri"/>
          <w:sz w:val="36"/>
          <w:szCs w:val="36"/>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4378"/>
        <w:gridCol w:w="4394"/>
        <w:gridCol w:w="3504"/>
      </w:tblGrid>
      <w:tr w:rsidR="00D8480C" w:rsidRPr="0026107D" w14:paraId="430577B4" w14:textId="77777777" w:rsidTr="004B633E">
        <w:trPr>
          <w:tblHeader/>
        </w:trPr>
        <w:tc>
          <w:tcPr>
            <w:tcW w:w="1718" w:type="dxa"/>
            <w:tcBorders>
              <w:top w:val="single" w:sz="4" w:space="0" w:color="auto"/>
              <w:bottom w:val="single" w:sz="4" w:space="0" w:color="auto"/>
            </w:tcBorders>
          </w:tcPr>
          <w:p w14:paraId="38812908" w14:textId="40C3CDBC" w:rsidR="00D8480C" w:rsidRPr="00746E72" w:rsidRDefault="00D8480C" w:rsidP="00522AA0">
            <w:pPr>
              <w:spacing w:line="276" w:lineRule="auto"/>
              <w:rPr>
                <w:rFonts w:ascii="Calibri" w:hAnsi="Calibri" w:cs="Calibri"/>
                <w:b/>
                <w:bCs/>
                <w:sz w:val="18"/>
                <w:szCs w:val="18"/>
              </w:rPr>
            </w:pPr>
            <w:r w:rsidRPr="00746E72">
              <w:rPr>
                <w:rFonts w:ascii="Calibri" w:hAnsi="Calibri" w:cs="Calibri"/>
                <w:b/>
                <w:bCs/>
                <w:sz w:val="18"/>
                <w:szCs w:val="18"/>
              </w:rPr>
              <w:t>Onderwerp</w:t>
            </w:r>
          </w:p>
        </w:tc>
        <w:tc>
          <w:tcPr>
            <w:tcW w:w="4378" w:type="dxa"/>
            <w:tcBorders>
              <w:top w:val="single" w:sz="4" w:space="0" w:color="auto"/>
              <w:bottom w:val="single" w:sz="4" w:space="0" w:color="auto"/>
            </w:tcBorders>
          </w:tcPr>
          <w:p w14:paraId="4E0FFBDC" w14:textId="5D4F4D6C" w:rsidR="00D8480C" w:rsidRPr="00746E72" w:rsidRDefault="00D8480C" w:rsidP="00522AA0">
            <w:pPr>
              <w:spacing w:line="276" w:lineRule="auto"/>
              <w:rPr>
                <w:rFonts w:ascii="Calibri" w:hAnsi="Calibri" w:cs="Calibri"/>
                <w:b/>
                <w:bCs/>
                <w:sz w:val="18"/>
                <w:szCs w:val="18"/>
              </w:rPr>
            </w:pPr>
            <w:r w:rsidRPr="00746E72">
              <w:rPr>
                <w:rFonts w:ascii="Calibri" w:hAnsi="Calibri" w:cs="Calibri"/>
                <w:b/>
                <w:bCs/>
                <w:sz w:val="18"/>
                <w:szCs w:val="18"/>
              </w:rPr>
              <w:t>Verstandige Keuze</w:t>
            </w:r>
          </w:p>
        </w:tc>
        <w:tc>
          <w:tcPr>
            <w:tcW w:w="4394" w:type="dxa"/>
            <w:tcBorders>
              <w:top w:val="single" w:sz="4" w:space="0" w:color="auto"/>
              <w:bottom w:val="single" w:sz="4" w:space="0" w:color="auto"/>
            </w:tcBorders>
          </w:tcPr>
          <w:p w14:paraId="563E0C99" w14:textId="5994B039" w:rsidR="00D8480C" w:rsidRPr="00746E72" w:rsidRDefault="00D8480C" w:rsidP="00522AA0">
            <w:pPr>
              <w:spacing w:line="276" w:lineRule="auto"/>
              <w:rPr>
                <w:rFonts w:ascii="Calibri" w:hAnsi="Calibri" w:cs="Calibri"/>
                <w:b/>
                <w:bCs/>
                <w:sz w:val="18"/>
                <w:szCs w:val="18"/>
              </w:rPr>
            </w:pPr>
            <w:r w:rsidRPr="00746E72">
              <w:rPr>
                <w:rFonts w:ascii="Calibri" w:hAnsi="Calibri" w:cs="Calibri"/>
                <w:b/>
                <w:bCs/>
                <w:sz w:val="18"/>
                <w:szCs w:val="18"/>
              </w:rPr>
              <w:t>Waarom geselecteerd?</w:t>
            </w:r>
          </w:p>
        </w:tc>
        <w:tc>
          <w:tcPr>
            <w:tcW w:w="3504" w:type="dxa"/>
            <w:tcBorders>
              <w:top w:val="single" w:sz="4" w:space="0" w:color="auto"/>
              <w:bottom w:val="single" w:sz="4" w:space="0" w:color="auto"/>
            </w:tcBorders>
          </w:tcPr>
          <w:p w14:paraId="25763615" w14:textId="1D2C3FD7" w:rsidR="00D8480C" w:rsidRPr="00746E72" w:rsidRDefault="00D8480C" w:rsidP="00522AA0">
            <w:pPr>
              <w:spacing w:line="276" w:lineRule="auto"/>
              <w:rPr>
                <w:rFonts w:ascii="Calibri" w:hAnsi="Calibri" w:cs="Calibri"/>
                <w:b/>
                <w:bCs/>
                <w:sz w:val="18"/>
                <w:szCs w:val="18"/>
              </w:rPr>
            </w:pPr>
            <w:r w:rsidRPr="00746E72">
              <w:rPr>
                <w:rFonts w:ascii="Calibri" w:hAnsi="Calibri" w:cs="Calibri"/>
                <w:b/>
                <w:bCs/>
                <w:sz w:val="18"/>
                <w:szCs w:val="18"/>
              </w:rPr>
              <w:t>Implementatieaanbeveling</w:t>
            </w:r>
          </w:p>
        </w:tc>
      </w:tr>
      <w:tr w:rsidR="00794B93" w:rsidRPr="0026107D" w14:paraId="43FD8129" w14:textId="77777777" w:rsidTr="004B633E">
        <w:tc>
          <w:tcPr>
            <w:tcW w:w="10490" w:type="dxa"/>
            <w:gridSpan w:val="3"/>
            <w:tcBorders>
              <w:top w:val="single" w:sz="4" w:space="0" w:color="auto"/>
            </w:tcBorders>
          </w:tcPr>
          <w:p w14:paraId="29F8D031" w14:textId="11B8F791" w:rsidR="00794B93" w:rsidRPr="00506DDE" w:rsidRDefault="00794B93" w:rsidP="006A536B">
            <w:pPr>
              <w:spacing w:line="276" w:lineRule="auto"/>
              <w:rPr>
                <w:rFonts w:ascii="Calibri" w:hAnsi="Calibri" w:cs="Calibri"/>
                <w:sz w:val="18"/>
                <w:szCs w:val="18"/>
              </w:rPr>
            </w:pPr>
            <w:r w:rsidRPr="00506DDE">
              <w:rPr>
                <w:rFonts w:ascii="Calibri" w:hAnsi="Calibri" w:cs="Calibri"/>
                <w:b/>
                <w:bCs/>
                <w:color w:val="0F9ED5" w:themeColor="accent4"/>
                <w:sz w:val="18"/>
                <w:szCs w:val="18"/>
              </w:rPr>
              <w:t>DOELMATIGE VERWIJS- EN TRIAGECRITERIA IN DE NEUROLOGIE</w:t>
            </w:r>
          </w:p>
        </w:tc>
        <w:tc>
          <w:tcPr>
            <w:tcW w:w="3504" w:type="dxa"/>
            <w:vMerge w:val="restart"/>
            <w:tcBorders>
              <w:top w:val="single" w:sz="4" w:space="0" w:color="auto"/>
            </w:tcBorders>
          </w:tcPr>
          <w:p w14:paraId="34234D5B" w14:textId="45A9A158" w:rsidR="00794B93" w:rsidRPr="00506DDE" w:rsidRDefault="00794B93" w:rsidP="00522AA0">
            <w:pPr>
              <w:spacing w:line="276" w:lineRule="auto"/>
              <w:rPr>
                <w:rFonts w:ascii="Calibri" w:hAnsi="Calibri" w:cs="Calibri"/>
                <w:sz w:val="18"/>
                <w:szCs w:val="18"/>
              </w:rPr>
            </w:pPr>
            <w:r w:rsidRPr="00B50BB2">
              <w:rPr>
                <w:rFonts w:ascii="Calibri" w:hAnsi="Calibri" w:cs="Calibri"/>
                <w:sz w:val="18"/>
                <w:szCs w:val="18"/>
              </w:rPr>
              <w:t xml:space="preserve">Voor </w:t>
            </w:r>
            <w:r w:rsidR="00FB1239">
              <w:rPr>
                <w:rFonts w:ascii="Calibri" w:hAnsi="Calibri" w:cs="Calibri"/>
                <w:sz w:val="18"/>
                <w:szCs w:val="18"/>
              </w:rPr>
              <w:t>deze</w:t>
            </w:r>
            <w:r w:rsidRPr="00B50BB2">
              <w:rPr>
                <w:rFonts w:ascii="Calibri" w:hAnsi="Calibri" w:cs="Calibri"/>
                <w:sz w:val="18"/>
                <w:szCs w:val="18"/>
              </w:rPr>
              <w:t xml:space="preserve"> Verstandige Keuzes geldt een gezamenlijke implementatieopgave:</w:t>
            </w:r>
            <w:r w:rsidRPr="00506DDE">
              <w:rPr>
                <w:rFonts w:ascii="Calibri" w:hAnsi="Calibri" w:cs="Calibri"/>
                <w:sz w:val="18"/>
                <w:szCs w:val="18"/>
              </w:rPr>
              <w:t xml:space="preserve"> </w:t>
            </w:r>
          </w:p>
          <w:p w14:paraId="7FDF01FA" w14:textId="2ACD1B38" w:rsidR="00794B93" w:rsidRPr="00506DDE" w:rsidRDefault="003B5995" w:rsidP="00170552">
            <w:pPr>
              <w:pStyle w:val="Lijstalinea"/>
              <w:numPr>
                <w:ilvl w:val="0"/>
                <w:numId w:val="7"/>
              </w:numPr>
              <w:spacing w:line="276" w:lineRule="auto"/>
              <w:rPr>
                <w:rFonts w:ascii="Calibri" w:hAnsi="Calibri" w:cs="Calibri"/>
                <w:sz w:val="18"/>
                <w:szCs w:val="18"/>
              </w:rPr>
            </w:pPr>
            <w:r>
              <w:rPr>
                <w:rFonts w:ascii="Calibri" w:hAnsi="Calibri" w:cs="Calibri"/>
                <w:sz w:val="18"/>
                <w:szCs w:val="18"/>
              </w:rPr>
              <w:t>B</w:t>
            </w:r>
            <w:r w:rsidR="00794B93" w:rsidRPr="00B50BB2">
              <w:rPr>
                <w:rFonts w:ascii="Calibri" w:hAnsi="Calibri" w:cs="Calibri"/>
                <w:sz w:val="18"/>
                <w:szCs w:val="18"/>
              </w:rPr>
              <w:t xml:space="preserve">org bestaande verwijscriteria uit de relevante NHG-standaarden in lokale verwijsplatforms (zoals </w:t>
            </w:r>
            <w:proofErr w:type="spellStart"/>
            <w:r w:rsidR="00794B93" w:rsidRPr="00B50BB2">
              <w:rPr>
                <w:rFonts w:ascii="Calibri" w:hAnsi="Calibri" w:cs="Calibri"/>
                <w:sz w:val="18"/>
                <w:szCs w:val="18"/>
              </w:rPr>
              <w:t>ZorgDomein</w:t>
            </w:r>
            <w:proofErr w:type="spellEnd"/>
            <w:r w:rsidR="00794B93" w:rsidRPr="00B50BB2">
              <w:rPr>
                <w:rFonts w:ascii="Calibri" w:hAnsi="Calibri" w:cs="Calibri"/>
                <w:sz w:val="18"/>
                <w:szCs w:val="18"/>
              </w:rPr>
              <w:t xml:space="preserve">), triageprotocollen en regionale werkafspraken. </w:t>
            </w:r>
          </w:p>
          <w:p w14:paraId="3E9917D3" w14:textId="15BA0ECB" w:rsidR="00794B93" w:rsidRPr="00506DDE" w:rsidRDefault="00794B93" w:rsidP="00170552">
            <w:pPr>
              <w:pStyle w:val="Lijstalinea"/>
              <w:numPr>
                <w:ilvl w:val="0"/>
                <w:numId w:val="7"/>
              </w:numPr>
              <w:spacing w:line="276" w:lineRule="auto"/>
              <w:rPr>
                <w:rFonts w:ascii="Calibri" w:hAnsi="Calibri" w:cs="Calibri"/>
                <w:sz w:val="18"/>
                <w:szCs w:val="18"/>
              </w:rPr>
            </w:pPr>
            <w:r w:rsidRPr="00B50BB2">
              <w:rPr>
                <w:rFonts w:ascii="Calibri" w:hAnsi="Calibri" w:cs="Calibri"/>
                <w:sz w:val="18"/>
                <w:szCs w:val="18"/>
              </w:rPr>
              <w:t xml:space="preserve">Stimuleer uniforme toepassing </w:t>
            </w:r>
            <w:r w:rsidRPr="00506DDE">
              <w:rPr>
                <w:rFonts w:ascii="Calibri" w:hAnsi="Calibri" w:cs="Calibri"/>
                <w:sz w:val="18"/>
                <w:szCs w:val="18"/>
              </w:rPr>
              <w:t xml:space="preserve">van de verwijscriteria </w:t>
            </w:r>
            <w:r w:rsidRPr="00B50BB2">
              <w:rPr>
                <w:rFonts w:ascii="Calibri" w:hAnsi="Calibri" w:cs="Calibri"/>
                <w:sz w:val="18"/>
                <w:szCs w:val="18"/>
              </w:rPr>
              <w:t xml:space="preserve">door actieve communicatie binnen vakgroepen neurologie en het delen van goede praktijkvoorbeelden. </w:t>
            </w:r>
          </w:p>
          <w:p w14:paraId="22F2280B" w14:textId="4CB3C608" w:rsidR="00794B93" w:rsidRPr="00B50BB2" w:rsidRDefault="00794B93" w:rsidP="00170552">
            <w:pPr>
              <w:pStyle w:val="Lijstalinea"/>
              <w:numPr>
                <w:ilvl w:val="0"/>
                <w:numId w:val="7"/>
              </w:numPr>
              <w:spacing w:line="276" w:lineRule="auto"/>
              <w:rPr>
                <w:rFonts w:ascii="Calibri" w:hAnsi="Calibri" w:cs="Calibri"/>
                <w:sz w:val="18"/>
                <w:szCs w:val="18"/>
              </w:rPr>
            </w:pPr>
            <w:r w:rsidRPr="00B50BB2">
              <w:rPr>
                <w:rFonts w:ascii="Calibri" w:hAnsi="Calibri" w:cs="Calibri"/>
                <w:sz w:val="18"/>
                <w:szCs w:val="18"/>
              </w:rPr>
              <w:t xml:space="preserve">Faciliteer laagdrempelige digitale </w:t>
            </w:r>
            <w:r w:rsidR="00D95420" w:rsidRPr="00B50BB2">
              <w:rPr>
                <w:rFonts w:ascii="Calibri" w:hAnsi="Calibri" w:cs="Calibri"/>
                <w:sz w:val="18"/>
                <w:szCs w:val="18"/>
              </w:rPr>
              <w:t>meedenk</w:t>
            </w:r>
            <w:r w:rsidR="00D95420">
              <w:rPr>
                <w:rFonts w:ascii="Calibri" w:hAnsi="Calibri" w:cs="Calibri"/>
                <w:sz w:val="18"/>
                <w:szCs w:val="18"/>
              </w:rPr>
              <w:t>adviezen</w:t>
            </w:r>
            <w:r w:rsidRPr="00B50BB2">
              <w:rPr>
                <w:rFonts w:ascii="Calibri" w:hAnsi="Calibri" w:cs="Calibri"/>
                <w:sz w:val="18"/>
                <w:szCs w:val="18"/>
              </w:rPr>
              <w:t>, bij voorkeur geïntegreerd in het verwijsplatform, zodat neurologische expertise beschikbaar is bij diagnostische onzekerheid zonder dat directe verwijzing noodzakelijk is.</w:t>
            </w:r>
          </w:p>
          <w:p w14:paraId="6B11BC55" w14:textId="22D9C2D0" w:rsidR="00794B93" w:rsidRPr="00506DDE" w:rsidRDefault="00794B93" w:rsidP="00522AA0">
            <w:pPr>
              <w:spacing w:line="276" w:lineRule="auto"/>
              <w:rPr>
                <w:rFonts w:ascii="Calibri" w:hAnsi="Calibri" w:cs="Calibri"/>
                <w:sz w:val="18"/>
                <w:szCs w:val="18"/>
              </w:rPr>
            </w:pPr>
            <w:r w:rsidRPr="00506DDE">
              <w:rPr>
                <w:rFonts w:ascii="Calibri" w:hAnsi="Calibri" w:cs="Calibri"/>
                <w:sz w:val="18"/>
                <w:szCs w:val="18"/>
              </w:rPr>
              <w:t>De Verstandige Keuzes introduceren geen nieuwe verwijscriteria, maar stimuleren een consistente toepassing van bestaande standaarden.</w:t>
            </w:r>
          </w:p>
          <w:p w14:paraId="2FE01705" w14:textId="77777777" w:rsidR="00794B93" w:rsidRPr="00506DDE" w:rsidRDefault="00794B93" w:rsidP="00522AA0">
            <w:pPr>
              <w:spacing w:line="276" w:lineRule="auto"/>
              <w:rPr>
                <w:rFonts w:ascii="Calibri" w:hAnsi="Calibri" w:cs="Calibri"/>
                <w:sz w:val="18"/>
                <w:szCs w:val="18"/>
              </w:rPr>
            </w:pPr>
          </w:p>
          <w:p w14:paraId="5CBBE4C5" w14:textId="28FEAD59" w:rsidR="00794B93" w:rsidRPr="00506DDE" w:rsidRDefault="00794B93" w:rsidP="00170552">
            <w:pPr>
              <w:pStyle w:val="Lijstalinea"/>
              <w:numPr>
                <w:ilvl w:val="0"/>
                <w:numId w:val="5"/>
              </w:numPr>
              <w:rPr>
                <w:rFonts w:ascii="Calibri" w:hAnsi="Calibri" w:cs="Calibri"/>
                <w:sz w:val="18"/>
                <w:szCs w:val="18"/>
              </w:rPr>
            </w:pPr>
            <w:hyperlink r:id="rId8" w:history="1">
              <w:r w:rsidRPr="00506DDE">
                <w:rPr>
                  <w:rStyle w:val="Hyperlink"/>
                  <w:rFonts w:ascii="Calibri" w:eastAsiaTheme="majorEastAsia" w:hAnsi="Calibri" w:cs="Calibri"/>
                  <w:sz w:val="18"/>
                  <w:szCs w:val="18"/>
                </w:rPr>
                <w:t>NHG-Standaard Duizeligheid</w:t>
              </w:r>
            </w:hyperlink>
          </w:p>
          <w:p w14:paraId="2F44440A" w14:textId="536B43CC" w:rsidR="00794B93" w:rsidRPr="00506DDE" w:rsidRDefault="00794B93" w:rsidP="00170552">
            <w:pPr>
              <w:pStyle w:val="Lijstalinea"/>
              <w:numPr>
                <w:ilvl w:val="0"/>
                <w:numId w:val="5"/>
              </w:numPr>
              <w:rPr>
                <w:rFonts w:ascii="Calibri" w:hAnsi="Calibri" w:cs="Calibri"/>
                <w:sz w:val="18"/>
                <w:szCs w:val="18"/>
              </w:rPr>
            </w:pPr>
            <w:hyperlink r:id="rId9" w:history="1">
              <w:r w:rsidRPr="00506DDE">
                <w:rPr>
                  <w:rStyle w:val="Hyperlink"/>
                  <w:rFonts w:ascii="Calibri" w:eastAsiaTheme="majorEastAsia" w:hAnsi="Calibri" w:cs="Calibri"/>
                  <w:sz w:val="18"/>
                  <w:szCs w:val="18"/>
                </w:rPr>
                <w:t xml:space="preserve">NHG-Standaard Aspecifieke </w:t>
              </w:r>
              <w:proofErr w:type="spellStart"/>
              <w:r w:rsidRPr="00506DDE">
                <w:rPr>
                  <w:rStyle w:val="Hyperlink"/>
                  <w:rFonts w:ascii="Calibri" w:eastAsiaTheme="majorEastAsia" w:hAnsi="Calibri" w:cs="Calibri"/>
                  <w:sz w:val="18"/>
                  <w:szCs w:val="18"/>
                </w:rPr>
                <w:t>lagerugpijn</w:t>
              </w:r>
              <w:proofErr w:type="spellEnd"/>
            </w:hyperlink>
          </w:p>
          <w:p w14:paraId="68F311BE" w14:textId="2CF16D33" w:rsidR="00794B93" w:rsidRPr="00506DDE" w:rsidRDefault="00794B93" w:rsidP="00170552">
            <w:pPr>
              <w:pStyle w:val="Lijstalinea"/>
              <w:numPr>
                <w:ilvl w:val="0"/>
                <w:numId w:val="5"/>
              </w:numPr>
              <w:rPr>
                <w:rFonts w:ascii="Calibri" w:hAnsi="Calibri" w:cs="Calibri"/>
                <w:sz w:val="18"/>
                <w:szCs w:val="18"/>
              </w:rPr>
            </w:pPr>
            <w:hyperlink r:id="rId10" w:history="1">
              <w:r w:rsidRPr="00506DDE">
                <w:rPr>
                  <w:rStyle w:val="Hyperlink"/>
                  <w:rFonts w:ascii="Calibri" w:eastAsiaTheme="majorEastAsia" w:hAnsi="Calibri" w:cs="Calibri"/>
                  <w:sz w:val="18"/>
                  <w:szCs w:val="18"/>
                </w:rPr>
                <w:t>NHG-Standaard Hoofdtrauma</w:t>
              </w:r>
            </w:hyperlink>
          </w:p>
          <w:p w14:paraId="4957AFBB" w14:textId="049BEB28" w:rsidR="00794B93" w:rsidRPr="00506DDE" w:rsidRDefault="00794B93" w:rsidP="00170552">
            <w:pPr>
              <w:pStyle w:val="Lijstalinea"/>
              <w:numPr>
                <w:ilvl w:val="0"/>
                <w:numId w:val="4"/>
              </w:numPr>
              <w:spacing w:line="276" w:lineRule="auto"/>
              <w:rPr>
                <w:rFonts w:ascii="Calibri" w:hAnsi="Calibri" w:cs="Calibri"/>
                <w:sz w:val="18"/>
                <w:szCs w:val="18"/>
              </w:rPr>
            </w:pPr>
            <w:hyperlink r:id="rId11" w:history="1">
              <w:r w:rsidRPr="00506DDE">
                <w:rPr>
                  <w:rStyle w:val="Hyperlink"/>
                  <w:rFonts w:ascii="Calibri" w:eastAsiaTheme="majorEastAsia" w:hAnsi="Calibri" w:cs="Calibri"/>
                  <w:sz w:val="18"/>
                  <w:szCs w:val="18"/>
                </w:rPr>
                <w:t>NHG-Standaard Hoofdpijn</w:t>
              </w:r>
            </w:hyperlink>
            <w:r w:rsidRPr="00506DDE">
              <w:rPr>
                <w:rFonts w:ascii="Calibri" w:hAnsi="Calibri" w:cs="Calibri"/>
                <w:sz w:val="18"/>
                <w:szCs w:val="18"/>
              </w:rPr>
              <w:br/>
            </w:r>
          </w:p>
        </w:tc>
      </w:tr>
      <w:tr w:rsidR="00794B93" w:rsidRPr="0026107D" w14:paraId="57BFD3C7" w14:textId="77777777" w:rsidTr="004B633E">
        <w:tc>
          <w:tcPr>
            <w:tcW w:w="1718" w:type="dxa"/>
          </w:tcPr>
          <w:p w14:paraId="65B70AFB" w14:textId="5380FA12" w:rsidR="00794B93" w:rsidRPr="00D20D0B" w:rsidRDefault="00794B93" w:rsidP="00522AA0">
            <w:pPr>
              <w:spacing w:line="276" w:lineRule="auto"/>
              <w:rPr>
                <w:rFonts w:ascii="Calibri" w:hAnsi="Calibri" w:cs="Calibri"/>
                <w:i/>
                <w:iCs/>
                <w:color w:val="0F9ED5" w:themeColor="accent4"/>
                <w:sz w:val="18"/>
                <w:szCs w:val="18"/>
              </w:rPr>
            </w:pPr>
            <w:r w:rsidRPr="00D20D0B">
              <w:rPr>
                <w:rFonts w:ascii="Calibri" w:hAnsi="Calibri" w:cs="Calibri"/>
                <w:i/>
                <w:iCs/>
                <w:color w:val="0F9ED5" w:themeColor="accent4"/>
                <w:sz w:val="18"/>
                <w:szCs w:val="18"/>
              </w:rPr>
              <w:t>(</w:t>
            </w:r>
            <w:r w:rsidR="001D28C2" w:rsidRPr="00D20D0B">
              <w:rPr>
                <w:rFonts w:ascii="Calibri" w:hAnsi="Calibri" w:cs="Calibri"/>
                <w:i/>
                <w:iCs/>
                <w:color w:val="0F9ED5" w:themeColor="accent4"/>
                <w:sz w:val="18"/>
                <w:szCs w:val="18"/>
              </w:rPr>
              <w:t>Chronische</w:t>
            </w:r>
            <w:r w:rsidRPr="00D20D0B">
              <w:rPr>
                <w:rFonts w:ascii="Calibri" w:hAnsi="Calibri" w:cs="Calibri"/>
                <w:i/>
                <w:iCs/>
                <w:color w:val="0F9ED5" w:themeColor="accent4"/>
                <w:sz w:val="18"/>
                <w:szCs w:val="18"/>
              </w:rPr>
              <w:t>) duizeligheid</w:t>
            </w:r>
          </w:p>
        </w:tc>
        <w:tc>
          <w:tcPr>
            <w:tcW w:w="4378" w:type="dxa"/>
          </w:tcPr>
          <w:p w14:paraId="3A2D28E8" w14:textId="05518515" w:rsidR="00794B93" w:rsidRPr="009D084E" w:rsidRDefault="00794B93" w:rsidP="00170552">
            <w:pPr>
              <w:pStyle w:val="Lijstalinea"/>
              <w:numPr>
                <w:ilvl w:val="0"/>
                <w:numId w:val="3"/>
              </w:numPr>
              <w:spacing w:line="276" w:lineRule="auto"/>
              <w:rPr>
                <w:rFonts w:ascii="Calibri" w:hAnsi="Calibri" w:cs="Calibri"/>
                <w:sz w:val="18"/>
                <w:szCs w:val="18"/>
              </w:rPr>
            </w:pPr>
            <w:r w:rsidRPr="009D084E">
              <w:rPr>
                <w:rFonts w:ascii="Calibri" w:hAnsi="Calibri" w:cs="Calibri"/>
                <w:sz w:val="18"/>
                <w:szCs w:val="18"/>
              </w:rPr>
              <w:t>Hanteer verwijscriteria voor patiënten met (chronische) duizeligheid</w:t>
            </w:r>
            <w:r w:rsidR="004842AD" w:rsidRPr="009D084E">
              <w:rPr>
                <w:rFonts w:ascii="Calibri" w:hAnsi="Calibri" w:cs="Calibri"/>
                <w:sz w:val="18"/>
                <w:szCs w:val="18"/>
              </w:rPr>
              <w:t xml:space="preserve">, inclusief </w:t>
            </w:r>
            <w:r w:rsidR="00341AB8" w:rsidRPr="009D084E">
              <w:rPr>
                <w:rFonts w:ascii="Calibri" w:hAnsi="Calibri" w:cs="Calibri"/>
                <w:sz w:val="18"/>
                <w:szCs w:val="18"/>
              </w:rPr>
              <w:t xml:space="preserve">patiënten met </w:t>
            </w:r>
            <w:r w:rsidR="004842AD" w:rsidRPr="009D084E">
              <w:rPr>
                <w:rFonts w:ascii="Calibri" w:hAnsi="Calibri" w:cs="Calibri"/>
                <w:sz w:val="18"/>
                <w:szCs w:val="18"/>
              </w:rPr>
              <w:t>BPPD,</w:t>
            </w:r>
            <w:r w:rsidRPr="009D084E">
              <w:rPr>
                <w:rFonts w:ascii="Calibri" w:hAnsi="Calibri" w:cs="Calibri"/>
                <w:sz w:val="18"/>
                <w:szCs w:val="18"/>
              </w:rPr>
              <w:t xml:space="preserve"> uit de eerste lijn. </w:t>
            </w:r>
            <w:r w:rsidR="00906D6C" w:rsidRPr="009D084E">
              <w:rPr>
                <w:rFonts w:ascii="Calibri" w:hAnsi="Calibri" w:cs="Calibri"/>
                <w:sz w:val="18"/>
                <w:szCs w:val="18"/>
              </w:rPr>
              <w:t>Beoordeel patiënten alleen wanneer dit geïndiceerd is zoals bij alarmsymptomen of diagnostische onzekerheid.</w:t>
            </w:r>
          </w:p>
        </w:tc>
        <w:tc>
          <w:tcPr>
            <w:tcW w:w="4394" w:type="dxa"/>
          </w:tcPr>
          <w:p w14:paraId="7ED998B1" w14:textId="77777777" w:rsidR="00794B93" w:rsidRPr="009D084E" w:rsidRDefault="00794B93" w:rsidP="00522AA0">
            <w:pPr>
              <w:spacing w:line="276" w:lineRule="auto"/>
              <w:rPr>
                <w:rFonts w:ascii="Calibri" w:hAnsi="Calibri" w:cs="Calibri"/>
                <w:sz w:val="18"/>
                <w:szCs w:val="18"/>
              </w:rPr>
            </w:pPr>
            <w:r w:rsidRPr="009D084E">
              <w:rPr>
                <w:rFonts w:ascii="Calibri" w:hAnsi="Calibri" w:cs="Calibri"/>
                <w:sz w:val="18"/>
                <w:szCs w:val="18"/>
              </w:rPr>
              <w:t>Duizeligheid komt veel voor in de huisartsenpraktijk (300.000 patiënten per jaar</w:t>
            </w:r>
            <w:r w:rsidRPr="009D084E">
              <w:rPr>
                <w:rFonts w:ascii="Calibri" w:hAnsi="Calibri" w:cs="Calibri"/>
                <w:sz w:val="18"/>
                <w:szCs w:val="18"/>
                <w:vertAlign w:val="superscript"/>
              </w:rPr>
              <w:t>1</w:t>
            </w:r>
            <w:r w:rsidRPr="009D084E">
              <w:rPr>
                <w:rFonts w:ascii="Calibri" w:hAnsi="Calibri" w:cs="Calibri"/>
                <w:sz w:val="18"/>
                <w:szCs w:val="18"/>
              </w:rPr>
              <w:t xml:space="preserve">). Patiënten worden regelmatig verwezen voordat eerstelijnsonderzoek naar orthostatische hypotensie, hyperventilatie of BPPD volledig is afgerond. Dit leidt tot praktijkvariatie, inefficiënte diagnostiek en onnodige beoordeling in de tweede lijn. </w:t>
            </w:r>
          </w:p>
          <w:p w14:paraId="7187316F" w14:textId="221B757E" w:rsidR="00794B93" w:rsidRPr="009D084E" w:rsidRDefault="00794B93" w:rsidP="00522AA0">
            <w:pPr>
              <w:spacing w:line="276" w:lineRule="auto"/>
              <w:rPr>
                <w:rFonts w:ascii="Calibri" w:hAnsi="Calibri" w:cs="Calibri"/>
                <w:i/>
                <w:iCs/>
                <w:sz w:val="18"/>
                <w:szCs w:val="18"/>
              </w:rPr>
            </w:pPr>
          </w:p>
        </w:tc>
        <w:tc>
          <w:tcPr>
            <w:tcW w:w="3504" w:type="dxa"/>
            <w:vMerge/>
          </w:tcPr>
          <w:p w14:paraId="6A805167" w14:textId="77777777" w:rsidR="00794B93" w:rsidRPr="0026107D" w:rsidRDefault="00794B93" w:rsidP="00522AA0">
            <w:pPr>
              <w:spacing w:line="276" w:lineRule="auto"/>
              <w:rPr>
                <w:rFonts w:ascii="Calibri" w:hAnsi="Calibri" w:cs="Calibri"/>
                <w:sz w:val="18"/>
                <w:szCs w:val="18"/>
              </w:rPr>
            </w:pPr>
          </w:p>
        </w:tc>
      </w:tr>
      <w:tr w:rsidR="00794B93" w:rsidRPr="0026107D" w14:paraId="30A4F4F9" w14:textId="77777777" w:rsidTr="004B633E">
        <w:tc>
          <w:tcPr>
            <w:tcW w:w="1718" w:type="dxa"/>
          </w:tcPr>
          <w:p w14:paraId="2BC4A678" w14:textId="01442069" w:rsidR="00794B93" w:rsidRPr="00D20D0B" w:rsidRDefault="00794B93" w:rsidP="00522AA0">
            <w:pPr>
              <w:spacing w:line="276" w:lineRule="auto"/>
              <w:rPr>
                <w:rFonts w:ascii="Calibri" w:hAnsi="Calibri" w:cs="Calibri"/>
                <w:i/>
                <w:iCs/>
                <w:color w:val="0F9ED5" w:themeColor="accent4"/>
                <w:sz w:val="18"/>
                <w:szCs w:val="18"/>
              </w:rPr>
            </w:pPr>
            <w:r w:rsidRPr="00D20D0B">
              <w:rPr>
                <w:rFonts w:ascii="Calibri" w:hAnsi="Calibri" w:cs="Calibri"/>
                <w:i/>
                <w:iCs/>
                <w:color w:val="0F9ED5" w:themeColor="accent4"/>
                <w:sz w:val="18"/>
                <w:szCs w:val="18"/>
              </w:rPr>
              <w:t>Aspecifieke lage-rugpijn</w:t>
            </w:r>
          </w:p>
        </w:tc>
        <w:tc>
          <w:tcPr>
            <w:tcW w:w="4378" w:type="dxa"/>
          </w:tcPr>
          <w:p w14:paraId="32332382" w14:textId="5E6EE602" w:rsidR="00794B93" w:rsidRPr="001D28C2" w:rsidRDefault="00794B93" w:rsidP="00170552">
            <w:pPr>
              <w:pStyle w:val="Lijstalinea"/>
              <w:numPr>
                <w:ilvl w:val="0"/>
                <w:numId w:val="3"/>
              </w:numPr>
              <w:spacing w:line="276" w:lineRule="auto"/>
              <w:rPr>
                <w:rFonts w:ascii="Calibri" w:hAnsi="Calibri" w:cs="Calibri"/>
                <w:sz w:val="18"/>
                <w:szCs w:val="18"/>
              </w:rPr>
            </w:pPr>
            <w:r w:rsidRPr="001D28C2">
              <w:rPr>
                <w:rFonts w:ascii="Calibri" w:hAnsi="Calibri" w:cs="Calibri"/>
                <w:sz w:val="18"/>
                <w:szCs w:val="18"/>
              </w:rPr>
              <w:t xml:space="preserve">Hanteer verwijscriteria voor patiënten met aspecifieke lage-rugpijn. </w:t>
            </w:r>
            <w:r w:rsidR="00906D6C" w:rsidRPr="001D28C2">
              <w:rPr>
                <w:rFonts w:ascii="Calibri" w:hAnsi="Calibri" w:cs="Calibri"/>
                <w:sz w:val="18"/>
                <w:szCs w:val="18"/>
              </w:rPr>
              <w:t>Beoordeel patiënten alleen wanneer dit geïndiceerd is zoals bij alarmsymptomen of diagnostische onzekerheid.</w:t>
            </w:r>
          </w:p>
        </w:tc>
        <w:tc>
          <w:tcPr>
            <w:tcW w:w="4394" w:type="dxa"/>
          </w:tcPr>
          <w:p w14:paraId="27B82890" w14:textId="6B15BFB8" w:rsidR="00794B93" w:rsidRDefault="00794B93" w:rsidP="00522AA0">
            <w:pPr>
              <w:spacing w:line="276" w:lineRule="auto"/>
              <w:rPr>
                <w:rFonts w:ascii="Calibri" w:hAnsi="Calibri" w:cs="Calibri"/>
                <w:sz w:val="18"/>
                <w:szCs w:val="18"/>
              </w:rPr>
            </w:pPr>
            <w:r w:rsidRPr="00F01831">
              <w:rPr>
                <w:rFonts w:ascii="Calibri" w:hAnsi="Calibri" w:cs="Calibri"/>
                <w:sz w:val="18"/>
                <w:szCs w:val="18"/>
              </w:rPr>
              <w:t>Lage-rugpijn behoort tot de meest voorkomende redenen voor een huisartsconsult. Jaarlijks</w:t>
            </w:r>
            <w:r w:rsidRPr="0026107D">
              <w:rPr>
                <w:rFonts w:ascii="Calibri" w:hAnsi="Calibri" w:cs="Calibri"/>
                <w:sz w:val="18"/>
                <w:szCs w:val="18"/>
              </w:rPr>
              <w:t xml:space="preserve"> worden naar schatting </w:t>
            </w:r>
            <w:proofErr w:type="gramStart"/>
            <w:r w:rsidRPr="0026107D">
              <w:rPr>
                <w:rFonts w:ascii="Calibri" w:hAnsi="Calibri" w:cs="Calibri"/>
                <w:sz w:val="18"/>
                <w:szCs w:val="18"/>
              </w:rPr>
              <w:t>circa</w:t>
            </w:r>
            <w:proofErr w:type="gramEnd"/>
            <w:r w:rsidRPr="0026107D">
              <w:rPr>
                <w:rFonts w:ascii="Calibri" w:hAnsi="Calibri" w:cs="Calibri"/>
                <w:sz w:val="18"/>
                <w:szCs w:val="18"/>
              </w:rPr>
              <w:t xml:space="preserve"> 10.000 patiënten hiervoor naar de neurologie verwezen. Neurologische beoordeling heeft meestal geen meerwaarde zonder verdenking op neurologische alarmsymptomen, een lumbaal </w:t>
            </w:r>
            <w:proofErr w:type="spellStart"/>
            <w:r w:rsidRPr="0026107D">
              <w:rPr>
                <w:rFonts w:ascii="Calibri" w:hAnsi="Calibri" w:cs="Calibri"/>
                <w:sz w:val="18"/>
                <w:szCs w:val="18"/>
              </w:rPr>
              <w:t>radiculair</w:t>
            </w:r>
            <w:proofErr w:type="spellEnd"/>
            <w:r w:rsidRPr="0026107D">
              <w:rPr>
                <w:rFonts w:ascii="Calibri" w:hAnsi="Calibri" w:cs="Calibri"/>
                <w:sz w:val="18"/>
                <w:szCs w:val="18"/>
              </w:rPr>
              <w:t xml:space="preserve"> syndroom of een </w:t>
            </w:r>
            <w:proofErr w:type="spellStart"/>
            <w:r w:rsidRPr="0026107D">
              <w:rPr>
                <w:rFonts w:ascii="Calibri" w:hAnsi="Calibri" w:cs="Calibri"/>
                <w:sz w:val="18"/>
                <w:szCs w:val="18"/>
              </w:rPr>
              <w:t>caudasyndroom</w:t>
            </w:r>
            <w:proofErr w:type="spellEnd"/>
            <w:r w:rsidRPr="0026107D">
              <w:rPr>
                <w:rFonts w:ascii="Calibri" w:hAnsi="Calibri" w:cs="Calibri"/>
                <w:sz w:val="18"/>
                <w:szCs w:val="18"/>
              </w:rPr>
              <w:t xml:space="preserve">. </w:t>
            </w:r>
          </w:p>
          <w:p w14:paraId="6EE60ADD" w14:textId="0A5E1188" w:rsidR="00794B93" w:rsidRPr="0026107D" w:rsidRDefault="00794B93" w:rsidP="00522AA0">
            <w:pPr>
              <w:spacing w:line="276" w:lineRule="auto"/>
              <w:rPr>
                <w:rFonts w:ascii="Calibri" w:hAnsi="Calibri" w:cs="Calibri"/>
                <w:i/>
                <w:iCs/>
                <w:sz w:val="18"/>
                <w:szCs w:val="18"/>
              </w:rPr>
            </w:pPr>
          </w:p>
        </w:tc>
        <w:tc>
          <w:tcPr>
            <w:tcW w:w="3504" w:type="dxa"/>
            <w:vMerge/>
          </w:tcPr>
          <w:p w14:paraId="0A3BBBEC" w14:textId="77777777" w:rsidR="00794B93" w:rsidRPr="0026107D" w:rsidRDefault="00794B93" w:rsidP="00522AA0">
            <w:pPr>
              <w:spacing w:line="276" w:lineRule="auto"/>
              <w:rPr>
                <w:rFonts w:ascii="Calibri" w:hAnsi="Calibri" w:cs="Calibri"/>
                <w:sz w:val="18"/>
                <w:szCs w:val="18"/>
              </w:rPr>
            </w:pPr>
          </w:p>
        </w:tc>
      </w:tr>
      <w:tr w:rsidR="00794B93" w:rsidRPr="0026107D" w14:paraId="1D31AC36" w14:textId="77777777" w:rsidTr="004B633E">
        <w:tc>
          <w:tcPr>
            <w:tcW w:w="1718" w:type="dxa"/>
          </w:tcPr>
          <w:p w14:paraId="010D9B1C" w14:textId="068CEA21" w:rsidR="00794B93" w:rsidRPr="00D20D0B" w:rsidRDefault="00794B93" w:rsidP="00522AA0">
            <w:pPr>
              <w:spacing w:line="276" w:lineRule="auto"/>
              <w:rPr>
                <w:rFonts w:ascii="Calibri" w:hAnsi="Calibri" w:cs="Calibri"/>
                <w:i/>
                <w:iCs/>
                <w:color w:val="0F9ED5" w:themeColor="accent4"/>
                <w:sz w:val="18"/>
                <w:szCs w:val="18"/>
              </w:rPr>
            </w:pPr>
            <w:r w:rsidRPr="00D20D0B">
              <w:rPr>
                <w:rFonts w:ascii="Calibri" w:hAnsi="Calibri" w:cs="Calibri"/>
                <w:i/>
                <w:iCs/>
                <w:color w:val="0F9ED5" w:themeColor="accent4"/>
                <w:sz w:val="18"/>
                <w:szCs w:val="18"/>
              </w:rPr>
              <w:t>Post-</w:t>
            </w:r>
            <w:proofErr w:type="spellStart"/>
            <w:r w:rsidRPr="00D20D0B">
              <w:rPr>
                <w:rFonts w:ascii="Calibri" w:hAnsi="Calibri" w:cs="Calibri"/>
                <w:i/>
                <w:iCs/>
                <w:color w:val="0F9ED5" w:themeColor="accent4"/>
                <w:sz w:val="18"/>
                <w:szCs w:val="18"/>
              </w:rPr>
              <w:t>commotionele</w:t>
            </w:r>
            <w:proofErr w:type="spellEnd"/>
            <w:r w:rsidRPr="00D20D0B">
              <w:rPr>
                <w:rFonts w:ascii="Calibri" w:hAnsi="Calibri" w:cs="Calibri"/>
                <w:i/>
                <w:iCs/>
                <w:color w:val="0F9ED5" w:themeColor="accent4"/>
                <w:sz w:val="18"/>
                <w:szCs w:val="18"/>
              </w:rPr>
              <w:t xml:space="preserve"> klachten</w:t>
            </w:r>
          </w:p>
        </w:tc>
        <w:tc>
          <w:tcPr>
            <w:tcW w:w="4378" w:type="dxa"/>
          </w:tcPr>
          <w:p w14:paraId="0204363A" w14:textId="5F7AD6A8" w:rsidR="00794B93" w:rsidRPr="001D28C2" w:rsidRDefault="00794B93" w:rsidP="00170552">
            <w:pPr>
              <w:pStyle w:val="Lijstalinea"/>
              <w:numPr>
                <w:ilvl w:val="0"/>
                <w:numId w:val="3"/>
              </w:numPr>
              <w:spacing w:line="276" w:lineRule="auto"/>
              <w:rPr>
                <w:rFonts w:ascii="Calibri" w:hAnsi="Calibri" w:cs="Calibri"/>
                <w:sz w:val="18"/>
                <w:szCs w:val="18"/>
              </w:rPr>
            </w:pPr>
            <w:r w:rsidRPr="001D28C2">
              <w:rPr>
                <w:rFonts w:ascii="Calibri" w:hAnsi="Calibri" w:cs="Calibri"/>
                <w:sz w:val="18"/>
                <w:szCs w:val="18"/>
              </w:rPr>
              <w:t>Hanteer verwijscriteria voor patiënten met post-</w:t>
            </w:r>
            <w:proofErr w:type="spellStart"/>
            <w:r w:rsidRPr="001D28C2">
              <w:rPr>
                <w:rFonts w:ascii="Calibri" w:hAnsi="Calibri" w:cs="Calibri"/>
                <w:sz w:val="18"/>
                <w:szCs w:val="18"/>
              </w:rPr>
              <w:t>commotionele</w:t>
            </w:r>
            <w:proofErr w:type="spellEnd"/>
            <w:r w:rsidRPr="001D28C2">
              <w:rPr>
                <w:rFonts w:ascii="Calibri" w:hAnsi="Calibri" w:cs="Calibri"/>
                <w:sz w:val="18"/>
                <w:szCs w:val="18"/>
              </w:rPr>
              <w:t xml:space="preserve"> klachten. </w:t>
            </w:r>
            <w:r w:rsidR="00906D6C" w:rsidRPr="001D28C2">
              <w:rPr>
                <w:rFonts w:ascii="Calibri" w:hAnsi="Calibri" w:cs="Calibri"/>
                <w:sz w:val="18"/>
                <w:szCs w:val="18"/>
              </w:rPr>
              <w:t>Beoordeel patiënten alleen wanneer dit geïndiceerd is zoals bij alarmsymptomen of diagnostische onzekerheid.</w:t>
            </w:r>
          </w:p>
        </w:tc>
        <w:tc>
          <w:tcPr>
            <w:tcW w:w="4394" w:type="dxa"/>
          </w:tcPr>
          <w:p w14:paraId="4FC71909" w14:textId="2405E73E" w:rsidR="00794B93" w:rsidRDefault="00794B93" w:rsidP="00522AA0">
            <w:pPr>
              <w:spacing w:line="276" w:lineRule="auto"/>
              <w:rPr>
                <w:rFonts w:ascii="Calibri" w:hAnsi="Calibri" w:cs="Calibri"/>
                <w:sz w:val="18"/>
                <w:szCs w:val="18"/>
              </w:rPr>
            </w:pPr>
            <w:r w:rsidRPr="00E86F4F">
              <w:rPr>
                <w:rFonts w:ascii="Calibri" w:hAnsi="Calibri" w:cs="Calibri"/>
                <w:sz w:val="18"/>
                <w:szCs w:val="18"/>
              </w:rPr>
              <w:t>Post-</w:t>
            </w:r>
            <w:proofErr w:type="spellStart"/>
            <w:r w:rsidRPr="00E86F4F">
              <w:rPr>
                <w:rFonts w:ascii="Calibri" w:hAnsi="Calibri" w:cs="Calibri"/>
                <w:sz w:val="18"/>
                <w:szCs w:val="18"/>
              </w:rPr>
              <w:t>commotionele</w:t>
            </w:r>
            <w:proofErr w:type="spellEnd"/>
            <w:r w:rsidRPr="00E86F4F">
              <w:rPr>
                <w:rFonts w:ascii="Calibri" w:hAnsi="Calibri" w:cs="Calibri"/>
                <w:sz w:val="18"/>
                <w:szCs w:val="18"/>
              </w:rPr>
              <w:t xml:space="preserve"> klachten komen regelmatig voor na een hoofdtrauma. Bij afwezigheid van alarmsymptomen of objectieve neurologische afwijkingen is de toegevoegde waarde van neurologische beoordeling doorgaans beperkt. In de praktijk bestaat variatie</w:t>
            </w:r>
            <w:r w:rsidRPr="0026107D">
              <w:rPr>
                <w:rFonts w:ascii="Calibri" w:hAnsi="Calibri" w:cs="Calibri"/>
                <w:sz w:val="18"/>
                <w:szCs w:val="18"/>
              </w:rPr>
              <w:t xml:space="preserve"> in verwijsgedrag en worden patiënten soms verwezen zonder duidelijk neurologische vraagstelling, wat leidt tot onnodige belasting van patiënt en tweede lijn. </w:t>
            </w:r>
          </w:p>
          <w:p w14:paraId="76A0F342" w14:textId="0F83CDCB" w:rsidR="00794B93" w:rsidRPr="0026107D" w:rsidRDefault="00794B93" w:rsidP="00522AA0">
            <w:pPr>
              <w:spacing w:line="276" w:lineRule="auto"/>
              <w:rPr>
                <w:rFonts w:ascii="Calibri" w:hAnsi="Calibri" w:cs="Calibri"/>
                <w:i/>
                <w:iCs/>
                <w:sz w:val="18"/>
                <w:szCs w:val="18"/>
              </w:rPr>
            </w:pPr>
          </w:p>
        </w:tc>
        <w:tc>
          <w:tcPr>
            <w:tcW w:w="3504" w:type="dxa"/>
            <w:vMerge/>
          </w:tcPr>
          <w:p w14:paraId="17A12C6A" w14:textId="77777777" w:rsidR="00794B93" w:rsidRPr="0026107D" w:rsidRDefault="00794B93" w:rsidP="00522AA0">
            <w:pPr>
              <w:spacing w:line="276" w:lineRule="auto"/>
              <w:rPr>
                <w:rFonts w:ascii="Calibri" w:hAnsi="Calibri" w:cs="Calibri"/>
                <w:sz w:val="18"/>
                <w:szCs w:val="18"/>
              </w:rPr>
            </w:pPr>
          </w:p>
        </w:tc>
      </w:tr>
      <w:tr w:rsidR="00794B93" w:rsidRPr="0026107D" w14:paraId="0577CD22" w14:textId="77777777" w:rsidTr="004B633E">
        <w:tc>
          <w:tcPr>
            <w:tcW w:w="1718" w:type="dxa"/>
            <w:tcBorders>
              <w:bottom w:val="single" w:sz="4" w:space="0" w:color="auto"/>
            </w:tcBorders>
          </w:tcPr>
          <w:p w14:paraId="2F1CBBAF" w14:textId="3C91DF9A" w:rsidR="00794B93" w:rsidRPr="00D20D0B" w:rsidRDefault="00794B93" w:rsidP="00522AA0">
            <w:pPr>
              <w:spacing w:line="276" w:lineRule="auto"/>
              <w:rPr>
                <w:rFonts w:ascii="Calibri" w:hAnsi="Calibri" w:cs="Calibri"/>
                <w:i/>
                <w:iCs/>
                <w:color w:val="0F9ED5" w:themeColor="accent4"/>
                <w:sz w:val="18"/>
                <w:szCs w:val="18"/>
              </w:rPr>
            </w:pPr>
            <w:r w:rsidRPr="00D20D0B">
              <w:rPr>
                <w:rFonts w:ascii="Calibri" w:hAnsi="Calibri" w:cs="Calibri"/>
                <w:i/>
                <w:iCs/>
                <w:color w:val="0F9ED5" w:themeColor="accent4"/>
                <w:sz w:val="18"/>
                <w:szCs w:val="18"/>
              </w:rPr>
              <w:t>Chronische spanningshoofdpijn</w:t>
            </w:r>
          </w:p>
        </w:tc>
        <w:tc>
          <w:tcPr>
            <w:tcW w:w="4378" w:type="dxa"/>
            <w:tcBorders>
              <w:bottom w:val="single" w:sz="4" w:space="0" w:color="auto"/>
            </w:tcBorders>
          </w:tcPr>
          <w:p w14:paraId="7C58E6D6" w14:textId="17E1658C" w:rsidR="00794B93" w:rsidRPr="001D28C2" w:rsidRDefault="00794B93" w:rsidP="00170552">
            <w:pPr>
              <w:pStyle w:val="Lijstalinea"/>
              <w:numPr>
                <w:ilvl w:val="0"/>
                <w:numId w:val="3"/>
              </w:numPr>
              <w:spacing w:line="276" w:lineRule="auto"/>
              <w:rPr>
                <w:rFonts w:ascii="Calibri" w:hAnsi="Calibri" w:cs="Calibri"/>
                <w:sz w:val="18"/>
                <w:szCs w:val="18"/>
              </w:rPr>
            </w:pPr>
            <w:r w:rsidRPr="001D28C2">
              <w:rPr>
                <w:rFonts w:ascii="Calibri" w:hAnsi="Calibri" w:cs="Calibri"/>
                <w:sz w:val="18"/>
                <w:szCs w:val="18"/>
              </w:rPr>
              <w:t xml:space="preserve">Hanteer verwijscriteria voor patiënten met chronische spanningshoofdpijn, inclusief hoofdpijn na hoofdtrauma. </w:t>
            </w:r>
            <w:r w:rsidR="00906D6C" w:rsidRPr="001D28C2">
              <w:rPr>
                <w:rFonts w:ascii="Calibri" w:hAnsi="Calibri" w:cs="Calibri"/>
                <w:sz w:val="18"/>
                <w:szCs w:val="18"/>
              </w:rPr>
              <w:t>Beoordeel patiënten alleen wanneer dit geïndiceerd is zoals bij alarmsymptomen of diagnostische onzekerheid.</w:t>
            </w:r>
          </w:p>
        </w:tc>
        <w:tc>
          <w:tcPr>
            <w:tcW w:w="4394" w:type="dxa"/>
            <w:tcBorders>
              <w:bottom w:val="single" w:sz="4" w:space="0" w:color="auto"/>
            </w:tcBorders>
          </w:tcPr>
          <w:p w14:paraId="799C9DC5" w14:textId="122AED6F" w:rsidR="00794B93" w:rsidRPr="0026107D" w:rsidRDefault="00794B93" w:rsidP="00522AA0">
            <w:pPr>
              <w:spacing w:line="276" w:lineRule="auto"/>
              <w:rPr>
                <w:rFonts w:ascii="Calibri" w:hAnsi="Calibri" w:cs="Calibri"/>
                <w:i/>
                <w:iCs/>
                <w:sz w:val="18"/>
                <w:szCs w:val="18"/>
              </w:rPr>
            </w:pPr>
            <w:r w:rsidRPr="0026107D">
              <w:rPr>
                <w:rFonts w:ascii="Calibri" w:hAnsi="Calibri" w:cs="Calibri"/>
                <w:sz w:val="18"/>
                <w:szCs w:val="18"/>
              </w:rPr>
              <w:t>Chronische spanningshoofdpijn komt veel voor in de eerste lijn. Neurologische beoordeling levert meestal weinig aanvullende diagnostische of therapeutische meerwaarde op wanneer alarmsymptomen ontbreken.</w:t>
            </w:r>
            <w:r w:rsidR="00275144">
              <w:rPr>
                <w:rFonts w:ascii="Calibri" w:hAnsi="Calibri" w:cs="Calibri"/>
                <w:sz w:val="18"/>
                <w:szCs w:val="18"/>
              </w:rPr>
              <w:t xml:space="preserve"> </w:t>
            </w:r>
            <w:r w:rsidRPr="0026107D">
              <w:rPr>
                <w:rFonts w:ascii="Calibri" w:hAnsi="Calibri" w:cs="Calibri"/>
                <w:sz w:val="18"/>
                <w:szCs w:val="18"/>
              </w:rPr>
              <w:t>Verwijzingen kunnen leiden tot onnodige belasting van de tweede lijn en hoge verwachtingen bij patiënten</w:t>
            </w:r>
            <w:r>
              <w:rPr>
                <w:rFonts w:ascii="Calibri" w:hAnsi="Calibri" w:cs="Calibri"/>
                <w:sz w:val="18"/>
                <w:szCs w:val="18"/>
              </w:rPr>
              <w:t>.</w:t>
            </w:r>
          </w:p>
        </w:tc>
        <w:tc>
          <w:tcPr>
            <w:tcW w:w="3504" w:type="dxa"/>
            <w:vMerge/>
            <w:tcBorders>
              <w:bottom w:val="single" w:sz="4" w:space="0" w:color="auto"/>
            </w:tcBorders>
          </w:tcPr>
          <w:p w14:paraId="085D7C57" w14:textId="77777777" w:rsidR="00794B93" w:rsidRPr="0026107D" w:rsidRDefault="00794B93" w:rsidP="00522AA0">
            <w:pPr>
              <w:spacing w:line="276" w:lineRule="auto"/>
              <w:rPr>
                <w:rFonts w:ascii="Calibri" w:hAnsi="Calibri" w:cs="Calibri"/>
                <w:sz w:val="18"/>
                <w:szCs w:val="18"/>
              </w:rPr>
            </w:pPr>
          </w:p>
        </w:tc>
      </w:tr>
      <w:tr w:rsidR="009F21B6" w:rsidRPr="0026107D" w14:paraId="331FAA39" w14:textId="77777777" w:rsidTr="004B633E">
        <w:tc>
          <w:tcPr>
            <w:tcW w:w="6096" w:type="dxa"/>
            <w:gridSpan w:val="2"/>
            <w:tcBorders>
              <w:top w:val="single" w:sz="4" w:space="0" w:color="auto"/>
            </w:tcBorders>
          </w:tcPr>
          <w:p w14:paraId="6CE0C9B8" w14:textId="762E44D8" w:rsidR="009F21B6" w:rsidRPr="0013502D" w:rsidRDefault="009F21B6" w:rsidP="00522AA0">
            <w:pPr>
              <w:spacing w:line="276" w:lineRule="auto"/>
              <w:rPr>
                <w:rFonts w:ascii="Calibri" w:hAnsi="Calibri" w:cs="Calibri"/>
                <w:i/>
                <w:iCs/>
                <w:sz w:val="18"/>
                <w:szCs w:val="18"/>
              </w:rPr>
            </w:pPr>
            <w:r w:rsidRPr="00D20D0B">
              <w:rPr>
                <w:rFonts w:ascii="Calibri" w:hAnsi="Calibri" w:cs="Calibri"/>
                <w:b/>
                <w:bCs/>
                <w:color w:val="0F9ED5" w:themeColor="accent4"/>
                <w:sz w:val="18"/>
                <w:szCs w:val="18"/>
              </w:rPr>
              <w:lastRenderedPageBreak/>
              <w:t>DOELMATIGE MONITORING EN DIAGNOSTIEK BIJ STABIELE EPILEPSIE</w:t>
            </w:r>
          </w:p>
        </w:tc>
        <w:tc>
          <w:tcPr>
            <w:tcW w:w="4394" w:type="dxa"/>
            <w:tcBorders>
              <w:top w:val="single" w:sz="4" w:space="0" w:color="auto"/>
            </w:tcBorders>
          </w:tcPr>
          <w:p w14:paraId="06A78791" w14:textId="0E5CB207" w:rsidR="009F21B6" w:rsidRPr="0013502D" w:rsidRDefault="009F21B6" w:rsidP="00522AA0">
            <w:pPr>
              <w:spacing w:line="276" w:lineRule="auto"/>
              <w:rPr>
                <w:rFonts w:ascii="Calibri" w:hAnsi="Calibri" w:cs="Calibri"/>
                <w:i/>
                <w:iCs/>
                <w:sz w:val="18"/>
                <w:szCs w:val="18"/>
              </w:rPr>
            </w:pPr>
          </w:p>
        </w:tc>
        <w:tc>
          <w:tcPr>
            <w:tcW w:w="3504" w:type="dxa"/>
            <w:tcBorders>
              <w:top w:val="single" w:sz="4" w:space="0" w:color="auto"/>
            </w:tcBorders>
          </w:tcPr>
          <w:p w14:paraId="6408728E" w14:textId="54E05D51" w:rsidR="009F21B6" w:rsidRPr="0013502D" w:rsidRDefault="009F21B6" w:rsidP="00522AA0">
            <w:pPr>
              <w:spacing w:line="276" w:lineRule="auto"/>
              <w:rPr>
                <w:rFonts w:ascii="Calibri" w:hAnsi="Calibri" w:cs="Calibri"/>
                <w:i/>
                <w:iCs/>
                <w:sz w:val="18"/>
                <w:szCs w:val="18"/>
              </w:rPr>
            </w:pPr>
          </w:p>
        </w:tc>
      </w:tr>
      <w:tr w:rsidR="00181331" w:rsidRPr="0026107D" w14:paraId="0EEB1934" w14:textId="77777777" w:rsidTr="004B633E">
        <w:tc>
          <w:tcPr>
            <w:tcW w:w="1718" w:type="dxa"/>
          </w:tcPr>
          <w:p w14:paraId="63FEF5EA" w14:textId="656CA8BC" w:rsidR="00181331" w:rsidRPr="00D20D0B" w:rsidRDefault="00407CA4" w:rsidP="00522AA0">
            <w:pPr>
              <w:spacing w:line="276" w:lineRule="auto"/>
              <w:rPr>
                <w:rFonts w:ascii="Calibri" w:hAnsi="Calibri" w:cs="Calibri"/>
                <w:i/>
                <w:iCs/>
                <w:color w:val="0F9ED5" w:themeColor="accent4"/>
                <w:sz w:val="18"/>
                <w:szCs w:val="18"/>
              </w:rPr>
            </w:pPr>
            <w:r w:rsidRPr="00D20D0B">
              <w:rPr>
                <w:rFonts w:ascii="Calibri" w:hAnsi="Calibri" w:cs="Calibri"/>
                <w:i/>
                <w:iCs/>
                <w:color w:val="0F9ED5" w:themeColor="accent4"/>
                <w:sz w:val="18"/>
                <w:szCs w:val="18"/>
              </w:rPr>
              <w:t>Routinematige f</w:t>
            </w:r>
            <w:r w:rsidR="0026107D" w:rsidRPr="00D20D0B">
              <w:rPr>
                <w:rFonts w:ascii="Calibri" w:hAnsi="Calibri" w:cs="Calibri"/>
                <w:i/>
                <w:iCs/>
                <w:color w:val="0F9ED5" w:themeColor="accent4"/>
                <w:sz w:val="18"/>
                <w:szCs w:val="18"/>
              </w:rPr>
              <w:t>ollow-up</w:t>
            </w:r>
          </w:p>
        </w:tc>
        <w:tc>
          <w:tcPr>
            <w:tcW w:w="4378" w:type="dxa"/>
          </w:tcPr>
          <w:p w14:paraId="691670F7" w14:textId="77777777" w:rsidR="00197946" w:rsidRDefault="00181331" w:rsidP="00170552">
            <w:pPr>
              <w:pStyle w:val="Lijstalinea"/>
              <w:numPr>
                <w:ilvl w:val="0"/>
                <w:numId w:val="3"/>
              </w:numPr>
              <w:spacing w:line="276" w:lineRule="auto"/>
              <w:rPr>
                <w:rFonts w:ascii="Calibri" w:hAnsi="Calibri" w:cs="Calibri"/>
                <w:sz w:val="18"/>
                <w:szCs w:val="18"/>
              </w:rPr>
            </w:pPr>
            <w:r w:rsidRPr="0026107D">
              <w:rPr>
                <w:rFonts w:ascii="Calibri" w:hAnsi="Calibri" w:cs="Calibri"/>
                <w:sz w:val="18"/>
                <w:szCs w:val="18"/>
              </w:rPr>
              <w:t>Plan bij patiënten met ≥2 jaar stabiele epilepsie geen routinematige follow-up in de neurologische zorg. Overweeg follow-up alleen bij specifieke risicofactoren of medicamenteuze bijzonderheden.</w:t>
            </w:r>
            <w:r w:rsidR="00197946">
              <w:rPr>
                <w:rFonts w:ascii="Calibri" w:hAnsi="Calibri" w:cs="Calibri"/>
                <w:sz w:val="18"/>
                <w:szCs w:val="18"/>
              </w:rPr>
              <w:t xml:space="preserve"> </w:t>
            </w:r>
          </w:p>
          <w:p w14:paraId="2CAA2FE5" w14:textId="77777777" w:rsidR="00197946" w:rsidRDefault="00197946" w:rsidP="00197946">
            <w:pPr>
              <w:pStyle w:val="Lijstalinea"/>
              <w:spacing w:line="276" w:lineRule="auto"/>
              <w:ind w:left="360"/>
              <w:rPr>
                <w:rFonts w:ascii="Calibri" w:hAnsi="Calibri" w:cs="Calibri"/>
                <w:sz w:val="18"/>
                <w:szCs w:val="18"/>
              </w:rPr>
            </w:pPr>
          </w:p>
          <w:p w14:paraId="472CF596" w14:textId="7B70AD02" w:rsidR="00181331" w:rsidRPr="0026107D" w:rsidRDefault="00197946" w:rsidP="00197946">
            <w:pPr>
              <w:pStyle w:val="Lijstalinea"/>
              <w:spacing w:line="276" w:lineRule="auto"/>
              <w:ind w:left="360"/>
              <w:rPr>
                <w:rFonts w:ascii="Calibri" w:hAnsi="Calibri" w:cs="Calibri"/>
                <w:sz w:val="18"/>
                <w:szCs w:val="18"/>
              </w:rPr>
            </w:pPr>
            <w:hyperlink r:id="rId12" w:history="1">
              <w:r w:rsidRPr="00520A8E">
                <w:rPr>
                  <w:rStyle w:val="Hyperlink"/>
                  <w:rFonts w:ascii="Calibri" w:hAnsi="Calibri" w:cs="Calibri"/>
                  <w:sz w:val="18"/>
                  <w:szCs w:val="18"/>
                </w:rPr>
                <w:t>Richtlijn Epilepsie – Wanneer verwijzen bij epilepsie</w:t>
              </w:r>
            </w:hyperlink>
          </w:p>
        </w:tc>
        <w:tc>
          <w:tcPr>
            <w:tcW w:w="4394" w:type="dxa"/>
          </w:tcPr>
          <w:p w14:paraId="22809746" w14:textId="3E68DF37" w:rsidR="00181331" w:rsidRDefault="006E1A58" w:rsidP="00522AA0">
            <w:pPr>
              <w:spacing w:line="276" w:lineRule="auto"/>
              <w:rPr>
                <w:rFonts w:ascii="Calibri" w:hAnsi="Calibri" w:cs="Calibri"/>
                <w:sz w:val="18"/>
                <w:szCs w:val="18"/>
              </w:rPr>
            </w:pPr>
            <w:r w:rsidRPr="003577D8">
              <w:rPr>
                <w:rFonts w:ascii="Calibri" w:hAnsi="Calibri" w:cs="Calibri"/>
                <w:sz w:val="18"/>
                <w:szCs w:val="18"/>
              </w:rPr>
              <w:t xml:space="preserve">In Nederland leven naar schatting </w:t>
            </w:r>
            <w:proofErr w:type="gramStart"/>
            <w:r w:rsidRPr="003577D8">
              <w:rPr>
                <w:rFonts w:ascii="Calibri" w:hAnsi="Calibri" w:cs="Calibri"/>
                <w:sz w:val="18"/>
                <w:szCs w:val="18"/>
              </w:rPr>
              <w:t>circa</w:t>
            </w:r>
            <w:proofErr w:type="gramEnd"/>
            <w:r w:rsidRPr="003577D8">
              <w:rPr>
                <w:rFonts w:ascii="Calibri" w:hAnsi="Calibri" w:cs="Calibri"/>
                <w:sz w:val="18"/>
                <w:szCs w:val="18"/>
              </w:rPr>
              <w:t xml:space="preserve"> 222.000 mensen met epilepsie. Een aanzienlijk deel van deze patiënten is langdurig stabiel. </w:t>
            </w:r>
            <w:r w:rsidR="00181331" w:rsidRPr="006E1A58">
              <w:rPr>
                <w:rFonts w:ascii="Calibri" w:hAnsi="Calibri" w:cs="Calibri"/>
                <w:sz w:val="18"/>
                <w:szCs w:val="18"/>
              </w:rPr>
              <w:t xml:space="preserve">Bij langdurig stabiele epilepsie zonder actieve behandelvraag levert routinematige controle in de neurologische zorg naar verwachting weinig gezondheidswinst op. Tegelijkertijd vraagt deze zorg capaciteit die ook kan worden ingezet voor patiënten met actieve of complexe neurologische problematiek. Geschat wordt dat </w:t>
            </w:r>
            <w:proofErr w:type="gramStart"/>
            <w:r w:rsidR="00181331" w:rsidRPr="006E1A58">
              <w:rPr>
                <w:rFonts w:ascii="Calibri" w:hAnsi="Calibri" w:cs="Calibri"/>
                <w:sz w:val="18"/>
                <w:szCs w:val="18"/>
              </w:rPr>
              <w:t>circa</w:t>
            </w:r>
            <w:proofErr w:type="gramEnd"/>
            <w:r w:rsidR="00181331" w:rsidRPr="006E1A58">
              <w:rPr>
                <w:rFonts w:ascii="Calibri" w:hAnsi="Calibri" w:cs="Calibri"/>
                <w:sz w:val="18"/>
                <w:szCs w:val="18"/>
              </w:rPr>
              <w:t xml:space="preserve"> 65.000–85.000 patiënten momenteel onder behandeling zijn, waarvan mogelijk ongeveer 30.000 patiënten geschikt zijn voor follow-up in de eerste lijn. De potentiële besparing wordt geschat op €1–5 miljoen per jaar, met daarnaast ruimtewinst in poliklinische capaciteit. Binnen de praktijk bestaat variatie in de duur en frequentie van follow-up.</w:t>
            </w:r>
          </w:p>
          <w:p w14:paraId="22D664B2" w14:textId="29FB8719" w:rsidR="00325298" w:rsidRPr="006E1A58" w:rsidRDefault="00325298" w:rsidP="00522AA0">
            <w:pPr>
              <w:spacing w:line="276" w:lineRule="auto"/>
              <w:rPr>
                <w:rFonts w:ascii="Calibri" w:hAnsi="Calibri" w:cs="Calibri"/>
                <w:sz w:val="18"/>
                <w:szCs w:val="18"/>
              </w:rPr>
            </w:pPr>
          </w:p>
        </w:tc>
        <w:tc>
          <w:tcPr>
            <w:tcW w:w="3504" w:type="dxa"/>
          </w:tcPr>
          <w:p w14:paraId="481607D4" w14:textId="77777777" w:rsidR="00181331" w:rsidRDefault="00181331" w:rsidP="00522AA0">
            <w:pPr>
              <w:spacing w:line="276" w:lineRule="auto"/>
              <w:rPr>
                <w:rFonts w:ascii="Calibri" w:hAnsi="Calibri" w:cs="Calibri"/>
                <w:sz w:val="18"/>
                <w:szCs w:val="18"/>
              </w:rPr>
            </w:pPr>
            <w:r w:rsidRPr="003577D8">
              <w:rPr>
                <w:rFonts w:ascii="Calibri" w:hAnsi="Calibri" w:cs="Calibri"/>
                <w:sz w:val="18"/>
                <w:szCs w:val="18"/>
              </w:rPr>
              <w:t xml:space="preserve">Heldere criteria zijn nodig voor welke patiënten kunnen worden terugverwezen en welke patiënten onder neurologische controle moeten blijven. Terugverwijsafspraken, informatie voor patiënt en huisarts en laagdrempelig </w:t>
            </w:r>
            <w:proofErr w:type="spellStart"/>
            <w:r w:rsidRPr="003577D8">
              <w:rPr>
                <w:rFonts w:ascii="Calibri" w:hAnsi="Calibri" w:cs="Calibri"/>
                <w:sz w:val="18"/>
                <w:szCs w:val="18"/>
              </w:rPr>
              <w:t>hercontact</w:t>
            </w:r>
            <w:proofErr w:type="spellEnd"/>
            <w:r w:rsidRPr="003577D8">
              <w:rPr>
                <w:rFonts w:ascii="Calibri" w:hAnsi="Calibri" w:cs="Calibri"/>
                <w:sz w:val="18"/>
                <w:szCs w:val="18"/>
              </w:rPr>
              <w:t xml:space="preserve"> bij verandering van de situatie zijn essentieel. De lopende herziening van de richtlijnmodule Organisatie van zorg kan hiervoor belangrijke handvatten bieden.</w:t>
            </w:r>
          </w:p>
          <w:p w14:paraId="542ACF02" w14:textId="77777777" w:rsidR="007C4C84" w:rsidRDefault="007C4C84" w:rsidP="00522AA0">
            <w:pPr>
              <w:spacing w:line="276" w:lineRule="auto"/>
            </w:pPr>
          </w:p>
          <w:p w14:paraId="15E1B50B" w14:textId="1993ADAC" w:rsidR="007C4C84" w:rsidRPr="0026107D" w:rsidRDefault="007C4C84" w:rsidP="00522AA0">
            <w:pPr>
              <w:spacing w:line="276" w:lineRule="auto"/>
              <w:rPr>
                <w:rFonts w:ascii="Calibri" w:hAnsi="Calibri" w:cs="Calibri"/>
                <w:sz w:val="18"/>
                <w:szCs w:val="18"/>
              </w:rPr>
            </w:pPr>
          </w:p>
        </w:tc>
      </w:tr>
      <w:tr w:rsidR="00181331" w:rsidRPr="0026107D" w14:paraId="20282418" w14:textId="77777777" w:rsidTr="004B633E">
        <w:tc>
          <w:tcPr>
            <w:tcW w:w="1718" w:type="dxa"/>
          </w:tcPr>
          <w:p w14:paraId="15A8DF14" w14:textId="7CFC45CD" w:rsidR="00181331" w:rsidRPr="00D20D0B" w:rsidRDefault="0026107D" w:rsidP="00522AA0">
            <w:pPr>
              <w:spacing w:line="276" w:lineRule="auto"/>
              <w:rPr>
                <w:rFonts w:ascii="Calibri" w:hAnsi="Calibri" w:cs="Calibri"/>
                <w:i/>
                <w:iCs/>
                <w:color w:val="0F9ED5" w:themeColor="accent4"/>
                <w:sz w:val="18"/>
                <w:szCs w:val="18"/>
              </w:rPr>
            </w:pPr>
            <w:r w:rsidRPr="00D20D0B">
              <w:rPr>
                <w:rFonts w:ascii="Calibri" w:hAnsi="Calibri" w:cs="Calibri"/>
                <w:i/>
                <w:iCs/>
                <w:color w:val="0F9ED5" w:themeColor="accent4"/>
                <w:sz w:val="18"/>
                <w:szCs w:val="18"/>
              </w:rPr>
              <w:t xml:space="preserve">EEG </w:t>
            </w:r>
            <w:r w:rsidR="00407CA4" w:rsidRPr="00D20D0B">
              <w:rPr>
                <w:rFonts w:ascii="Calibri" w:hAnsi="Calibri" w:cs="Calibri"/>
                <w:i/>
                <w:iCs/>
                <w:color w:val="0F9ED5" w:themeColor="accent4"/>
                <w:sz w:val="18"/>
                <w:szCs w:val="18"/>
              </w:rPr>
              <w:t>voorafgaand aan medicatieafbouw</w:t>
            </w:r>
          </w:p>
        </w:tc>
        <w:tc>
          <w:tcPr>
            <w:tcW w:w="4378" w:type="dxa"/>
          </w:tcPr>
          <w:p w14:paraId="517A9BAB" w14:textId="77777777" w:rsidR="00197946" w:rsidRPr="00197946" w:rsidRDefault="00181331" w:rsidP="00170552">
            <w:pPr>
              <w:pStyle w:val="Lijstalinea"/>
              <w:numPr>
                <w:ilvl w:val="0"/>
                <w:numId w:val="3"/>
              </w:numPr>
              <w:spacing w:line="276" w:lineRule="auto"/>
              <w:rPr>
                <w:rStyle w:val="Nadruk"/>
                <w:rFonts w:ascii="Calibri" w:hAnsi="Calibri" w:cs="Calibri"/>
                <w:i w:val="0"/>
                <w:iCs w:val="0"/>
                <w:sz w:val="18"/>
                <w:szCs w:val="18"/>
              </w:rPr>
            </w:pPr>
            <w:r w:rsidRPr="0026107D">
              <w:rPr>
                <w:rFonts w:ascii="Calibri" w:hAnsi="Calibri" w:cs="Calibri"/>
                <w:sz w:val="18"/>
                <w:szCs w:val="18"/>
              </w:rPr>
              <w:t>Maak niet standaard een EEG voorafgaand aan het afbouwen van anti-aanvalsmedicatie bij stabiele patiënten.</w:t>
            </w:r>
            <w:r w:rsidR="00197946">
              <w:rPr>
                <w:rStyle w:val="Nadruk"/>
                <w:rFonts w:ascii="Calibri" w:hAnsi="Calibri" w:cs="Calibri"/>
                <w:color w:val="4C94D8" w:themeColor="text2" w:themeTint="80"/>
                <w:sz w:val="18"/>
                <w:szCs w:val="18"/>
              </w:rPr>
              <w:t xml:space="preserve"> </w:t>
            </w:r>
          </w:p>
          <w:p w14:paraId="3D86D871" w14:textId="77777777" w:rsidR="00197946" w:rsidRPr="00197946" w:rsidRDefault="00197946" w:rsidP="00197946">
            <w:pPr>
              <w:pStyle w:val="Lijstalinea"/>
              <w:spacing w:line="276" w:lineRule="auto"/>
              <w:ind w:left="360"/>
              <w:rPr>
                <w:rStyle w:val="Nadruk"/>
                <w:rFonts w:ascii="Calibri" w:hAnsi="Calibri" w:cs="Calibri"/>
                <w:i w:val="0"/>
                <w:iCs w:val="0"/>
                <w:sz w:val="18"/>
                <w:szCs w:val="18"/>
              </w:rPr>
            </w:pPr>
          </w:p>
          <w:p w14:paraId="0A82C003" w14:textId="0C914EC0" w:rsidR="00181331" w:rsidRPr="0026107D" w:rsidRDefault="00197946" w:rsidP="00197946">
            <w:pPr>
              <w:pStyle w:val="Lijstalinea"/>
              <w:spacing w:line="276" w:lineRule="auto"/>
              <w:ind w:left="360"/>
              <w:rPr>
                <w:rFonts w:ascii="Calibri" w:hAnsi="Calibri" w:cs="Calibri"/>
                <w:sz w:val="18"/>
                <w:szCs w:val="18"/>
              </w:rPr>
            </w:pPr>
            <w:hyperlink r:id="rId13" w:history="1">
              <w:r w:rsidRPr="00E01C8A">
                <w:rPr>
                  <w:rStyle w:val="Hyperlink"/>
                  <w:rFonts w:ascii="Calibri" w:hAnsi="Calibri" w:cs="Calibri"/>
                  <w:sz w:val="18"/>
                  <w:szCs w:val="18"/>
                </w:rPr>
                <w:t xml:space="preserve">Richtlijn Epilepsie – Wanneer </w:t>
              </w:r>
              <w:r>
                <w:rPr>
                  <w:rStyle w:val="Hyperlink"/>
                  <w:rFonts w:ascii="Calibri" w:hAnsi="Calibri" w:cs="Calibri"/>
                  <w:sz w:val="18"/>
                  <w:szCs w:val="18"/>
                </w:rPr>
                <w:t>staken met anti-aanvalsmedicatie bij epilepsie</w:t>
              </w:r>
            </w:hyperlink>
          </w:p>
        </w:tc>
        <w:tc>
          <w:tcPr>
            <w:tcW w:w="4394" w:type="dxa"/>
          </w:tcPr>
          <w:p w14:paraId="550CD9FA" w14:textId="1A1CA47D" w:rsidR="00181331" w:rsidRPr="0026107D" w:rsidRDefault="00181331" w:rsidP="00522AA0">
            <w:pPr>
              <w:spacing w:line="276" w:lineRule="auto"/>
              <w:rPr>
                <w:rFonts w:ascii="Calibri" w:hAnsi="Calibri" w:cs="Calibri"/>
                <w:sz w:val="18"/>
                <w:szCs w:val="18"/>
              </w:rPr>
            </w:pPr>
            <w:r w:rsidRPr="0026107D">
              <w:rPr>
                <w:rFonts w:ascii="Calibri" w:hAnsi="Calibri" w:cs="Calibri"/>
                <w:sz w:val="18"/>
                <w:szCs w:val="18"/>
              </w:rPr>
              <w:t xml:space="preserve">Een EEG voorafgaand aan afbouw heeft niet in alle situaties zelfstandige meerwaarde voor de besluitvorming. Routinematige inzet kan leiden tot extra diagnostiek, onzekerheid en praktijkvariatie zonder dat dit altijd consequenties heeft voor het beleid. De richtlijn benoemt </w:t>
            </w:r>
            <w:proofErr w:type="spellStart"/>
            <w:r w:rsidRPr="0026107D">
              <w:rPr>
                <w:rFonts w:ascii="Calibri" w:hAnsi="Calibri" w:cs="Calibri"/>
                <w:sz w:val="18"/>
                <w:szCs w:val="18"/>
              </w:rPr>
              <w:t>epileptiforme</w:t>
            </w:r>
            <w:proofErr w:type="spellEnd"/>
            <w:r w:rsidRPr="0026107D">
              <w:rPr>
                <w:rFonts w:ascii="Calibri" w:hAnsi="Calibri" w:cs="Calibri"/>
                <w:sz w:val="18"/>
                <w:szCs w:val="18"/>
              </w:rPr>
              <w:t xml:space="preserve"> afwijkingen op EEG als één van meerdere factoren die samenhangen met recidiefrisico, maar schrijft geen routinematig EEG voor.</w:t>
            </w:r>
          </w:p>
        </w:tc>
        <w:tc>
          <w:tcPr>
            <w:tcW w:w="3504" w:type="dxa"/>
          </w:tcPr>
          <w:p w14:paraId="69133012" w14:textId="1B4B3149" w:rsidR="009B1E13" w:rsidRPr="0026107D" w:rsidRDefault="00181331" w:rsidP="00522AA0">
            <w:pPr>
              <w:spacing w:line="276" w:lineRule="auto"/>
              <w:rPr>
                <w:rFonts w:ascii="Calibri" w:hAnsi="Calibri" w:cs="Calibri"/>
                <w:sz w:val="18"/>
                <w:szCs w:val="18"/>
              </w:rPr>
            </w:pPr>
            <w:r w:rsidRPr="0026107D">
              <w:rPr>
                <w:rFonts w:ascii="Calibri" w:hAnsi="Calibri" w:cs="Calibri"/>
                <w:sz w:val="18"/>
                <w:szCs w:val="18"/>
              </w:rPr>
              <w:t>Be</w:t>
            </w:r>
            <w:r w:rsidR="00493228">
              <w:rPr>
                <w:rFonts w:ascii="Calibri" w:hAnsi="Calibri" w:cs="Calibri"/>
                <w:sz w:val="18"/>
                <w:szCs w:val="18"/>
              </w:rPr>
              <w:t>schrijf</w:t>
            </w:r>
            <w:r w:rsidR="00755644">
              <w:rPr>
                <w:rFonts w:ascii="Calibri" w:hAnsi="Calibri" w:cs="Calibri"/>
                <w:sz w:val="18"/>
                <w:szCs w:val="18"/>
              </w:rPr>
              <w:t xml:space="preserve"> expliciet in welke situaties</w:t>
            </w:r>
            <w:r w:rsidRPr="0026107D">
              <w:rPr>
                <w:rFonts w:ascii="Calibri" w:hAnsi="Calibri" w:cs="Calibri"/>
                <w:sz w:val="18"/>
                <w:szCs w:val="18"/>
              </w:rPr>
              <w:t xml:space="preserve"> EEG wel relevant kan zijn, bijvoorbeeld bij specifieke klinische risicofactoren of onzekerheid over het epilepsiesyndroom. </w:t>
            </w:r>
            <w:r w:rsidR="00FE7A75">
              <w:rPr>
                <w:rFonts w:ascii="Calibri" w:hAnsi="Calibri" w:cs="Calibri"/>
                <w:sz w:val="18"/>
                <w:szCs w:val="18"/>
              </w:rPr>
              <w:t>Ondersteun uniforme besluitvorming</w:t>
            </w:r>
            <w:r w:rsidR="00852B3F">
              <w:rPr>
                <w:rFonts w:ascii="Calibri" w:hAnsi="Calibri" w:cs="Calibri"/>
                <w:sz w:val="18"/>
                <w:szCs w:val="18"/>
              </w:rPr>
              <w:t xml:space="preserve"> door</w:t>
            </w:r>
            <w:r w:rsidRPr="0026107D">
              <w:rPr>
                <w:rFonts w:ascii="Calibri" w:hAnsi="Calibri" w:cs="Calibri"/>
                <w:sz w:val="18"/>
                <w:szCs w:val="18"/>
              </w:rPr>
              <w:t xml:space="preserve"> eenduidige communicatie dat afbouwbeslissingen primair worden </w:t>
            </w:r>
            <w:r w:rsidR="00533120">
              <w:rPr>
                <w:rFonts w:ascii="Calibri" w:hAnsi="Calibri" w:cs="Calibri"/>
                <w:sz w:val="18"/>
                <w:szCs w:val="18"/>
              </w:rPr>
              <w:t>gebaseerd op</w:t>
            </w:r>
            <w:r w:rsidRPr="0026107D">
              <w:rPr>
                <w:rFonts w:ascii="Calibri" w:hAnsi="Calibri" w:cs="Calibri"/>
                <w:sz w:val="18"/>
                <w:szCs w:val="18"/>
              </w:rPr>
              <w:t xml:space="preserve"> klinische factoren en gezamenlijke besluitvorming. </w:t>
            </w:r>
            <w:r w:rsidRPr="0026107D">
              <w:rPr>
                <w:rFonts w:ascii="Calibri" w:hAnsi="Calibri" w:cs="Calibri"/>
                <w:sz w:val="18"/>
                <w:szCs w:val="18"/>
              </w:rPr>
              <w:br/>
            </w:r>
          </w:p>
        </w:tc>
      </w:tr>
      <w:tr w:rsidR="00181331" w:rsidRPr="0026107D" w14:paraId="1BFC85AE" w14:textId="77777777" w:rsidTr="004B633E">
        <w:tc>
          <w:tcPr>
            <w:tcW w:w="1718" w:type="dxa"/>
          </w:tcPr>
          <w:p w14:paraId="3CE7E19D" w14:textId="5269567C" w:rsidR="00181331" w:rsidRPr="00407CA4" w:rsidRDefault="0026107D" w:rsidP="00522AA0">
            <w:pPr>
              <w:spacing w:line="276" w:lineRule="auto"/>
              <w:rPr>
                <w:rFonts w:ascii="Calibri" w:hAnsi="Calibri" w:cs="Calibri"/>
                <w:i/>
                <w:iCs/>
                <w:sz w:val="18"/>
                <w:szCs w:val="18"/>
              </w:rPr>
            </w:pPr>
            <w:r w:rsidRPr="00D20D0B">
              <w:rPr>
                <w:rFonts w:ascii="Calibri" w:hAnsi="Calibri" w:cs="Calibri"/>
                <w:i/>
                <w:iCs/>
                <w:color w:val="0F9ED5" w:themeColor="accent4"/>
                <w:sz w:val="18"/>
                <w:szCs w:val="18"/>
              </w:rPr>
              <w:t xml:space="preserve">Spiegelbepalingen </w:t>
            </w:r>
          </w:p>
        </w:tc>
        <w:tc>
          <w:tcPr>
            <w:tcW w:w="4378" w:type="dxa"/>
          </w:tcPr>
          <w:p w14:paraId="046DA49E" w14:textId="3BF9EFD9" w:rsidR="00FE00E2" w:rsidRPr="00197946" w:rsidRDefault="00181331" w:rsidP="00170552">
            <w:pPr>
              <w:pStyle w:val="Lijstalinea"/>
              <w:numPr>
                <w:ilvl w:val="0"/>
                <w:numId w:val="3"/>
              </w:numPr>
              <w:spacing w:line="276" w:lineRule="auto"/>
              <w:rPr>
                <w:rStyle w:val="Nadruk"/>
                <w:rFonts w:ascii="Calibri" w:hAnsi="Calibri" w:cs="Calibri"/>
                <w:i w:val="0"/>
                <w:iCs w:val="0"/>
                <w:sz w:val="18"/>
                <w:szCs w:val="18"/>
              </w:rPr>
            </w:pPr>
            <w:r w:rsidRPr="0026107D">
              <w:rPr>
                <w:rFonts w:ascii="Calibri" w:hAnsi="Calibri" w:cs="Calibri"/>
                <w:sz w:val="18"/>
                <w:szCs w:val="18"/>
              </w:rPr>
              <w:t>Vraag geen routinematige spiegelbepalingen van anti-aanvalsmedicatie aan zonder klinische aanleiding of dosiswijziging.</w:t>
            </w:r>
            <w:r w:rsidR="00197946">
              <w:rPr>
                <w:rStyle w:val="Nadruk"/>
                <w:rFonts w:ascii="Calibri" w:hAnsi="Calibri" w:cs="Calibri"/>
                <w:color w:val="4C94D8" w:themeColor="text2" w:themeTint="80"/>
                <w:sz w:val="18"/>
                <w:szCs w:val="18"/>
              </w:rPr>
              <w:t xml:space="preserve"> </w:t>
            </w:r>
          </w:p>
          <w:p w14:paraId="75BC3605" w14:textId="77777777" w:rsidR="00197946" w:rsidRPr="00325298" w:rsidRDefault="00197946" w:rsidP="00FE00E2">
            <w:pPr>
              <w:pStyle w:val="Lijstalinea"/>
              <w:spacing w:line="276" w:lineRule="auto"/>
              <w:ind w:left="360"/>
              <w:rPr>
                <w:rStyle w:val="Nadruk"/>
                <w:rFonts w:ascii="Calibri" w:hAnsi="Calibri" w:cs="Calibri"/>
                <w:i w:val="0"/>
                <w:iCs w:val="0"/>
                <w:sz w:val="18"/>
                <w:szCs w:val="18"/>
              </w:rPr>
            </w:pPr>
          </w:p>
          <w:p w14:paraId="26C72B70" w14:textId="28343404" w:rsidR="00181331" w:rsidRPr="0026107D" w:rsidRDefault="00197946" w:rsidP="00197946">
            <w:pPr>
              <w:pStyle w:val="Lijstalinea"/>
              <w:spacing w:line="276" w:lineRule="auto"/>
              <w:ind w:left="360"/>
              <w:rPr>
                <w:rFonts w:ascii="Calibri" w:hAnsi="Calibri" w:cs="Calibri"/>
                <w:sz w:val="18"/>
                <w:szCs w:val="18"/>
              </w:rPr>
            </w:pPr>
            <w:hyperlink r:id="rId14" w:history="1">
              <w:r w:rsidRPr="003C6733">
                <w:rPr>
                  <w:rStyle w:val="Hyperlink"/>
                  <w:rFonts w:ascii="Calibri" w:hAnsi="Calibri" w:cs="Calibri"/>
                  <w:sz w:val="18"/>
                  <w:szCs w:val="18"/>
                </w:rPr>
                <w:t>Richtlijn Epilepsie – Monitoren klinisch-chemische en hematologische parameters bij epilepsie</w:t>
              </w:r>
            </w:hyperlink>
          </w:p>
        </w:tc>
        <w:tc>
          <w:tcPr>
            <w:tcW w:w="4394" w:type="dxa"/>
          </w:tcPr>
          <w:p w14:paraId="41DA34A4" w14:textId="7E732DB2" w:rsidR="00181331" w:rsidRPr="0026107D" w:rsidRDefault="00181331" w:rsidP="00522AA0">
            <w:pPr>
              <w:spacing w:line="276" w:lineRule="auto"/>
              <w:rPr>
                <w:rFonts w:ascii="Calibri" w:hAnsi="Calibri" w:cs="Calibri"/>
                <w:sz w:val="18"/>
                <w:szCs w:val="18"/>
              </w:rPr>
            </w:pPr>
            <w:r w:rsidRPr="0026107D">
              <w:rPr>
                <w:rFonts w:ascii="Calibri" w:hAnsi="Calibri" w:cs="Calibri"/>
                <w:sz w:val="18"/>
                <w:szCs w:val="18"/>
              </w:rPr>
              <w:t xml:space="preserve">Routinematige spiegelbepalingen zonder klinische vraag leiden tot extra diagnostiek en kosten, terwijl de uitslag </w:t>
            </w:r>
            <w:r w:rsidR="00154156">
              <w:rPr>
                <w:rFonts w:ascii="Calibri" w:hAnsi="Calibri" w:cs="Calibri"/>
                <w:sz w:val="18"/>
                <w:szCs w:val="18"/>
              </w:rPr>
              <w:t>vaak geen</w:t>
            </w:r>
            <w:r w:rsidRPr="0026107D">
              <w:rPr>
                <w:rFonts w:ascii="Calibri" w:hAnsi="Calibri" w:cs="Calibri"/>
                <w:sz w:val="18"/>
                <w:szCs w:val="18"/>
              </w:rPr>
              <w:t xml:space="preserve"> consequenties heeft voor het beleid. In de praktijk bestaat variatie in wanneer en hoe vaak spiegels worden bepaald. </w:t>
            </w:r>
          </w:p>
        </w:tc>
        <w:tc>
          <w:tcPr>
            <w:tcW w:w="3504" w:type="dxa"/>
          </w:tcPr>
          <w:p w14:paraId="1CA78DBC" w14:textId="54A4EC0B" w:rsidR="00181331" w:rsidRDefault="006A7E94" w:rsidP="00522AA0">
            <w:pPr>
              <w:spacing w:line="276" w:lineRule="auto"/>
              <w:rPr>
                <w:rStyle w:val="Nadruk"/>
                <w:rFonts w:ascii="Calibri" w:hAnsi="Calibri" w:cs="Calibri"/>
                <w:color w:val="4C94D8" w:themeColor="text2" w:themeTint="80"/>
                <w:sz w:val="18"/>
                <w:szCs w:val="18"/>
              </w:rPr>
            </w:pPr>
            <w:r>
              <w:rPr>
                <w:rFonts w:ascii="Calibri" w:hAnsi="Calibri" w:cs="Calibri"/>
                <w:sz w:val="18"/>
                <w:szCs w:val="18"/>
              </w:rPr>
              <w:t>Beschrijf expliciet</w:t>
            </w:r>
            <w:r w:rsidR="00181331" w:rsidRPr="0026107D">
              <w:rPr>
                <w:rFonts w:ascii="Calibri" w:hAnsi="Calibri" w:cs="Calibri"/>
                <w:sz w:val="18"/>
                <w:szCs w:val="18"/>
              </w:rPr>
              <w:t xml:space="preserve"> in welke situaties spiegelbepaling wél passend is, zoals bij toxiciteit, therapietrouwvragen, interacties, zwangerschap, dosiswijziging of verandering in klinische situatie. </w:t>
            </w:r>
            <w:r>
              <w:rPr>
                <w:rFonts w:ascii="Calibri" w:hAnsi="Calibri" w:cs="Calibri"/>
                <w:sz w:val="18"/>
                <w:szCs w:val="18"/>
              </w:rPr>
              <w:t>Ondersteun dit met l</w:t>
            </w:r>
            <w:r w:rsidR="00181331" w:rsidRPr="0026107D">
              <w:rPr>
                <w:rFonts w:ascii="Calibri" w:hAnsi="Calibri" w:cs="Calibri"/>
                <w:sz w:val="18"/>
                <w:szCs w:val="18"/>
              </w:rPr>
              <w:t xml:space="preserve">okale werkafspraken en laboratorium-/EPD-aanvraagsets. </w:t>
            </w:r>
            <w:r w:rsidR="00181331" w:rsidRPr="0026107D">
              <w:rPr>
                <w:rFonts w:ascii="Calibri" w:hAnsi="Calibri" w:cs="Calibri"/>
                <w:sz w:val="18"/>
                <w:szCs w:val="18"/>
              </w:rPr>
              <w:br/>
            </w:r>
          </w:p>
          <w:p w14:paraId="6B223FF5" w14:textId="39B3FE34" w:rsidR="003C6733" w:rsidRPr="0026107D" w:rsidRDefault="003C6733" w:rsidP="00522AA0">
            <w:pPr>
              <w:spacing w:line="276" w:lineRule="auto"/>
              <w:rPr>
                <w:rFonts w:ascii="Calibri" w:hAnsi="Calibri" w:cs="Calibri"/>
                <w:sz w:val="18"/>
                <w:szCs w:val="18"/>
              </w:rPr>
            </w:pPr>
          </w:p>
        </w:tc>
      </w:tr>
      <w:tr w:rsidR="00181331" w:rsidRPr="0026107D" w14:paraId="4EAC9915" w14:textId="77777777" w:rsidTr="004B633E">
        <w:tc>
          <w:tcPr>
            <w:tcW w:w="1718" w:type="dxa"/>
          </w:tcPr>
          <w:p w14:paraId="219178BB" w14:textId="560C608F" w:rsidR="00181331" w:rsidRPr="00407CA4" w:rsidRDefault="00407CA4" w:rsidP="00522AA0">
            <w:pPr>
              <w:spacing w:line="276" w:lineRule="auto"/>
              <w:rPr>
                <w:rFonts w:ascii="Calibri" w:hAnsi="Calibri" w:cs="Calibri"/>
                <w:i/>
                <w:iCs/>
                <w:sz w:val="18"/>
                <w:szCs w:val="18"/>
              </w:rPr>
            </w:pPr>
            <w:r w:rsidRPr="00D20D0B">
              <w:rPr>
                <w:rFonts w:ascii="Calibri" w:hAnsi="Calibri" w:cs="Calibri"/>
                <w:i/>
                <w:iCs/>
                <w:color w:val="0F9ED5" w:themeColor="accent4"/>
                <w:sz w:val="18"/>
                <w:szCs w:val="18"/>
              </w:rPr>
              <w:lastRenderedPageBreak/>
              <w:t>Uitgebreide e</w:t>
            </w:r>
            <w:r w:rsidR="0026107D" w:rsidRPr="00D20D0B">
              <w:rPr>
                <w:rFonts w:ascii="Calibri" w:hAnsi="Calibri" w:cs="Calibri"/>
                <w:i/>
                <w:iCs/>
                <w:color w:val="0F9ED5" w:themeColor="accent4"/>
                <w:sz w:val="18"/>
                <w:szCs w:val="18"/>
              </w:rPr>
              <w:t xml:space="preserve">lektrolytenbepaling </w:t>
            </w:r>
          </w:p>
        </w:tc>
        <w:tc>
          <w:tcPr>
            <w:tcW w:w="4378" w:type="dxa"/>
          </w:tcPr>
          <w:p w14:paraId="64D16291" w14:textId="03486115" w:rsidR="00181331" w:rsidRPr="0026107D" w:rsidRDefault="00181331" w:rsidP="00170552">
            <w:pPr>
              <w:pStyle w:val="Lijstalinea"/>
              <w:numPr>
                <w:ilvl w:val="0"/>
                <w:numId w:val="3"/>
              </w:numPr>
              <w:spacing w:line="276" w:lineRule="auto"/>
              <w:rPr>
                <w:rFonts w:ascii="Calibri" w:hAnsi="Calibri" w:cs="Calibri"/>
                <w:sz w:val="18"/>
                <w:szCs w:val="18"/>
              </w:rPr>
            </w:pPr>
            <w:r w:rsidRPr="0026107D">
              <w:rPr>
                <w:rFonts w:ascii="Calibri" w:hAnsi="Calibri" w:cs="Calibri"/>
                <w:sz w:val="18"/>
                <w:szCs w:val="18"/>
              </w:rPr>
              <w:t>Bepaal na een epileptisch insult op de SEH niet standaard een uitgebreid elektrolytenpakket. Bepaal alleen elektrolyten die klinisch relevant zijn op basis van presentatie of voorgeschiedenis.</w:t>
            </w:r>
          </w:p>
        </w:tc>
        <w:tc>
          <w:tcPr>
            <w:tcW w:w="4394" w:type="dxa"/>
          </w:tcPr>
          <w:p w14:paraId="4FBF3D33" w14:textId="7B83B766" w:rsidR="00181331" w:rsidRPr="0026107D" w:rsidRDefault="00181331" w:rsidP="00522AA0">
            <w:pPr>
              <w:spacing w:line="276" w:lineRule="auto"/>
              <w:rPr>
                <w:rFonts w:ascii="Calibri" w:hAnsi="Calibri" w:cs="Calibri"/>
                <w:sz w:val="18"/>
                <w:szCs w:val="18"/>
              </w:rPr>
            </w:pPr>
            <w:r w:rsidRPr="0026107D">
              <w:rPr>
                <w:rFonts w:ascii="Calibri" w:hAnsi="Calibri" w:cs="Calibri"/>
                <w:sz w:val="18"/>
                <w:szCs w:val="18"/>
              </w:rPr>
              <w:t xml:space="preserve">Uitgebreide laboratoriumdiagnostiek na een ongecompliceerd insult kan bijdragen aan </w:t>
            </w:r>
            <w:proofErr w:type="spellStart"/>
            <w:r w:rsidRPr="0026107D">
              <w:rPr>
                <w:rFonts w:ascii="Calibri" w:hAnsi="Calibri" w:cs="Calibri"/>
                <w:sz w:val="18"/>
                <w:szCs w:val="18"/>
              </w:rPr>
              <w:t>overdiagnostiek</w:t>
            </w:r>
            <w:proofErr w:type="spellEnd"/>
            <w:r w:rsidRPr="0026107D">
              <w:rPr>
                <w:rFonts w:ascii="Calibri" w:hAnsi="Calibri" w:cs="Calibri"/>
                <w:sz w:val="18"/>
                <w:szCs w:val="18"/>
              </w:rPr>
              <w:t>, langere doorlooptijd op de SEH en praktijkvariatie. Gerichte diagnostiek sluit beter aan bij de klinische vraag</w:t>
            </w:r>
            <w:r w:rsidR="00BF6CC8">
              <w:rPr>
                <w:rFonts w:ascii="Calibri" w:hAnsi="Calibri" w:cs="Calibri"/>
                <w:sz w:val="18"/>
                <w:szCs w:val="18"/>
              </w:rPr>
              <w:t>.</w:t>
            </w:r>
          </w:p>
        </w:tc>
        <w:tc>
          <w:tcPr>
            <w:tcW w:w="3504" w:type="dxa"/>
          </w:tcPr>
          <w:p w14:paraId="769BB646" w14:textId="071FB13B" w:rsidR="00181331" w:rsidRPr="0026107D" w:rsidRDefault="009E709A" w:rsidP="00522AA0">
            <w:pPr>
              <w:spacing w:line="276" w:lineRule="auto"/>
              <w:rPr>
                <w:rFonts w:ascii="Calibri" w:hAnsi="Calibri" w:cs="Calibri"/>
                <w:sz w:val="18"/>
                <w:szCs w:val="18"/>
              </w:rPr>
            </w:pPr>
            <w:r>
              <w:rPr>
                <w:rFonts w:ascii="Calibri" w:hAnsi="Calibri" w:cs="Calibri"/>
                <w:sz w:val="18"/>
                <w:szCs w:val="18"/>
              </w:rPr>
              <w:t xml:space="preserve">Harmoniseer lokale SEH-protocollen en diagnostieksets voor patiënten na een epileptisch insult. </w:t>
            </w:r>
          </w:p>
        </w:tc>
      </w:tr>
    </w:tbl>
    <w:p w14:paraId="48BB58D5" w14:textId="77777777" w:rsidR="00D8480C" w:rsidRPr="00D8480C" w:rsidRDefault="00D8480C" w:rsidP="00D8480C"/>
    <w:p w14:paraId="396DB2F2" w14:textId="77777777" w:rsidR="00930687" w:rsidRPr="00930687" w:rsidRDefault="00930687" w:rsidP="00930687"/>
    <w:p w14:paraId="72DC1E71" w14:textId="5095AA54" w:rsidR="00915579" w:rsidRPr="00915579" w:rsidRDefault="00915579" w:rsidP="00915579">
      <w:pPr>
        <w:rPr>
          <w:rFonts w:asciiTheme="majorHAnsi" w:eastAsiaTheme="majorEastAsia" w:hAnsiTheme="majorHAnsi" w:cstheme="majorBidi"/>
          <w:color w:val="0F4761" w:themeColor="accent1" w:themeShade="BF"/>
          <w:sz w:val="40"/>
          <w:szCs w:val="40"/>
        </w:rPr>
      </w:pPr>
      <w:bookmarkStart w:id="8" w:name="_Toc229518439"/>
    </w:p>
    <w:p w14:paraId="5D229FCF" w14:textId="77777777" w:rsidR="00915579" w:rsidRDefault="00915579" w:rsidP="009124FB">
      <w:pPr>
        <w:pStyle w:val="Kop1"/>
      </w:pPr>
    </w:p>
    <w:p w14:paraId="4F33F996" w14:textId="77777777" w:rsidR="00915579" w:rsidRDefault="00915579" w:rsidP="009124FB">
      <w:pPr>
        <w:pStyle w:val="Kop1"/>
      </w:pPr>
    </w:p>
    <w:p w14:paraId="54D714E7" w14:textId="77777777" w:rsidR="00915579" w:rsidRDefault="00915579">
      <w:pPr>
        <w:rPr>
          <w:rFonts w:asciiTheme="majorHAnsi" w:eastAsiaTheme="majorEastAsia" w:hAnsiTheme="majorHAnsi" w:cstheme="majorBidi"/>
          <w:color w:val="0F4761" w:themeColor="accent1" w:themeShade="BF"/>
          <w:sz w:val="40"/>
          <w:szCs w:val="40"/>
        </w:rPr>
      </w:pPr>
      <w:r>
        <w:br w:type="page"/>
      </w:r>
    </w:p>
    <w:p w14:paraId="437DB481" w14:textId="18B4380D" w:rsidR="009124FB" w:rsidRPr="00B50BB2" w:rsidRDefault="0043358D" w:rsidP="00FB1239">
      <w:pPr>
        <w:pStyle w:val="Kop1"/>
        <w:spacing w:before="0" w:line="276" w:lineRule="auto"/>
        <w:rPr>
          <w:rFonts w:ascii="Calibri" w:hAnsi="Calibri" w:cs="Calibri"/>
          <w:sz w:val="36"/>
          <w:szCs w:val="36"/>
        </w:rPr>
      </w:pPr>
      <w:r w:rsidRPr="00B50BB2">
        <w:rPr>
          <w:rFonts w:ascii="Calibri" w:hAnsi="Calibri" w:cs="Calibri"/>
          <w:sz w:val="36"/>
          <w:szCs w:val="36"/>
        </w:rPr>
        <w:lastRenderedPageBreak/>
        <w:t>Ver</w:t>
      </w:r>
      <w:r w:rsidR="00FF221C" w:rsidRPr="00B50BB2">
        <w:rPr>
          <w:rFonts w:ascii="Calibri" w:hAnsi="Calibri" w:cs="Calibri"/>
          <w:sz w:val="36"/>
          <w:szCs w:val="36"/>
        </w:rPr>
        <w:t>dere uitwerking en implementatie</w:t>
      </w:r>
      <w:bookmarkEnd w:id="8"/>
    </w:p>
    <w:p w14:paraId="7E496E28" w14:textId="0B796266" w:rsidR="00FF221C" w:rsidRPr="00512338" w:rsidRDefault="00FF221C" w:rsidP="00512338">
      <w:pPr>
        <w:spacing w:line="276" w:lineRule="auto"/>
        <w:rPr>
          <w:rFonts w:ascii="Calibri" w:hAnsi="Calibri" w:cs="Calibri"/>
          <w:sz w:val="22"/>
          <w:szCs w:val="22"/>
        </w:rPr>
      </w:pPr>
      <w:r w:rsidRPr="00512338">
        <w:rPr>
          <w:rFonts w:ascii="Calibri" w:hAnsi="Calibri" w:cs="Calibri"/>
          <w:sz w:val="22"/>
          <w:szCs w:val="22"/>
        </w:rPr>
        <w:t xml:space="preserve">De Verstandige Keuzes Neurologie 2026 vormen geen eindpunt, maar een eerste stap in het verder versterken van passende en toekomstbestendige neurologische zorg. </w:t>
      </w:r>
      <w:r w:rsidR="00BD7339" w:rsidRPr="00512338">
        <w:rPr>
          <w:rFonts w:ascii="Calibri" w:hAnsi="Calibri" w:cs="Calibri"/>
          <w:sz w:val="22"/>
          <w:szCs w:val="22"/>
        </w:rPr>
        <w:t xml:space="preserve">De aanbevelingen </w:t>
      </w:r>
      <w:r w:rsidR="003175CA" w:rsidRPr="00512338">
        <w:rPr>
          <w:rFonts w:ascii="Calibri" w:hAnsi="Calibri" w:cs="Calibri"/>
          <w:sz w:val="22"/>
          <w:szCs w:val="22"/>
        </w:rPr>
        <w:t>bieden</w:t>
      </w:r>
      <w:r w:rsidR="00BD7339" w:rsidRPr="00512338">
        <w:rPr>
          <w:rFonts w:ascii="Calibri" w:hAnsi="Calibri" w:cs="Calibri"/>
          <w:sz w:val="22"/>
          <w:szCs w:val="22"/>
        </w:rPr>
        <w:t xml:space="preserve"> concrete handvatten voor </w:t>
      </w:r>
      <w:r w:rsidR="006458CB" w:rsidRPr="00512338">
        <w:rPr>
          <w:rFonts w:ascii="Calibri" w:hAnsi="Calibri" w:cs="Calibri"/>
          <w:sz w:val="22"/>
          <w:szCs w:val="22"/>
        </w:rPr>
        <w:t>een doelmatige inzet van neurologische zorg en vragen om</w:t>
      </w:r>
      <w:r w:rsidRPr="00512338">
        <w:rPr>
          <w:rFonts w:ascii="Calibri" w:hAnsi="Calibri" w:cs="Calibri"/>
          <w:sz w:val="22"/>
          <w:szCs w:val="22"/>
        </w:rPr>
        <w:t xml:space="preserve"> verdere implementatie, regionale uitwerking en doorontwikkeling.</w:t>
      </w:r>
    </w:p>
    <w:p w14:paraId="69B6C0D9" w14:textId="77777777" w:rsidR="00FF221C" w:rsidRPr="00FB1239" w:rsidRDefault="00FF221C" w:rsidP="00512338">
      <w:pPr>
        <w:spacing w:line="276" w:lineRule="auto"/>
        <w:rPr>
          <w:rFonts w:ascii="Calibri" w:hAnsi="Calibri" w:cs="Calibri"/>
          <w:sz w:val="10"/>
          <w:szCs w:val="10"/>
        </w:rPr>
      </w:pPr>
    </w:p>
    <w:p w14:paraId="6213F0B0" w14:textId="23CB5E55" w:rsidR="00FF221C" w:rsidRPr="00512338" w:rsidRDefault="00FF221C" w:rsidP="00512338">
      <w:pPr>
        <w:spacing w:line="276" w:lineRule="auto"/>
        <w:rPr>
          <w:rFonts w:ascii="Calibri" w:hAnsi="Calibri" w:cs="Calibri"/>
          <w:b/>
          <w:bCs/>
          <w:sz w:val="22"/>
          <w:szCs w:val="22"/>
        </w:rPr>
      </w:pPr>
      <w:r w:rsidRPr="00512338">
        <w:rPr>
          <w:rFonts w:ascii="Calibri" w:hAnsi="Calibri" w:cs="Calibri"/>
          <w:b/>
          <w:bCs/>
          <w:sz w:val="22"/>
          <w:szCs w:val="22"/>
        </w:rPr>
        <w:t>Aansluiting bij de landelijke MSZ-implementatieagenda van ZE&amp;GG</w:t>
      </w:r>
    </w:p>
    <w:p w14:paraId="149B0A43" w14:textId="577A2C94" w:rsidR="00FF221C" w:rsidRPr="00512338" w:rsidRDefault="00FF221C" w:rsidP="00512338">
      <w:pPr>
        <w:spacing w:line="276" w:lineRule="auto"/>
        <w:rPr>
          <w:rFonts w:ascii="Calibri" w:hAnsi="Calibri" w:cs="Calibri"/>
          <w:sz w:val="22"/>
          <w:szCs w:val="22"/>
        </w:rPr>
      </w:pPr>
      <w:r w:rsidRPr="00512338">
        <w:rPr>
          <w:rFonts w:ascii="Calibri" w:hAnsi="Calibri" w:cs="Calibri"/>
          <w:sz w:val="22"/>
          <w:szCs w:val="22"/>
        </w:rPr>
        <w:t xml:space="preserve">De geselecteerde Verstandige Keuzes worden aangeboden aan de Landelijke MSZ-Implementatieagenda van het programma Zorgevaluatie &amp; Gepast Gebruik (ZE&amp;GG). De onderwerpen sluiten aan bij de doelstellingen van passende zorg en richten zich op het </w:t>
      </w:r>
      <w:r w:rsidR="009216B1" w:rsidRPr="00512338">
        <w:rPr>
          <w:rFonts w:ascii="Calibri" w:hAnsi="Calibri" w:cs="Calibri"/>
          <w:sz w:val="22"/>
          <w:szCs w:val="22"/>
        </w:rPr>
        <w:t>bevorderen van zorg op de juiste plek, het verminderen van praktijkvariatie</w:t>
      </w:r>
      <w:r w:rsidR="008977E1" w:rsidRPr="00512338">
        <w:rPr>
          <w:rFonts w:ascii="Calibri" w:hAnsi="Calibri" w:cs="Calibri"/>
          <w:sz w:val="22"/>
          <w:szCs w:val="22"/>
        </w:rPr>
        <w:t xml:space="preserve"> en het doelmatig inzetten van beschikbare capaciteit.</w:t>
      </w:r>
      <w:r w:rsidR="00E229D9">
        <w:rPr>
          <w:rFonts w:ascii="Calibri" w:hAnsi="Calibri" w:cs="Calibri"/>
          <w:sz w:val="22"/>
          <w:szCs w:val="22"/>
        </w:rPr>
        <w:t xml:space="preserve"> </w:t>
      </w:r>
      <w:r w:rsidRPr="00512338">
        <w:rPr>
          <w:rFonts w:ascii="Calibri" w:hAnsi="Calibri" w:cs="Calibri"/>
          <w:sz w:val="22"/>
          <w:szCs w:val="22"/>
        </w:rPr>
        <w:t xml:space="preserve">Voor meerdere onderwerpen </w:t>
      </w:r>
      <w:r w:rsidR="008977E1" w:rsidRPr="00512338">
        <w:rPr>
          <w:rFonts w:ascii="Calibri" w:hAnsi="Calibri" w:cs="Calibri"/>
          <w:sz w:val="22"/>
          <w:szCs w:val="22"/>
        </w:rPr>
        <w:t>zijn</w:t>
      </w:r>
      <w:r w:rsidRPr="00512338">
        <w:rPr>
          <w:rFonts w:ascii="Calibri" w:hAnsi="Calibri" w:cs="Calibri"/>
          <w:sz w:val="22"/>
          <w:szCs w:val="22"/>
        </w:rPr>
        <w:t xml:space="preserve"> inhoudelijke richtlijnen </w:t>
      </w:r>
      <w:r w:rsidR="008977E1" w:rsidRPr="00512338">
        <w:rPr>
          <w:rFonts w:ascii="Calibri" w:hAnsi="Calibri" w:cs="Calibri"/>
          <w:sz w:val="22"/>
          <w:szCs w:val="22"/>
        </w:rPr>
        <w:t xml:space="preserve">en standaarden </w:t>
      </w:r>
      <w:proofErr w:type="gramStart"/>
      <w:r w:rsidRPr="00512338">
        <w:rPr>
          <w:rFonts w:ascii="Calibri" w:hAnsi="Calibri" w:cs="Calibri"/>
          <w:sz w:val="22"/>
          <w:szCs w:val="22"/>
        </w:rPr>
        <w:t>reeds</w:t>
      </w:r>
      <w:proofErr w:type="gramEnd"/>
      <w:r w:rsidRPr="00512338">
        <w:rPr>
          <w:rFonts w:ascii="Calibri" w:hAnsi="Calibri" w:cs="Calibri"/>
          <w:sz w:val="22"/>
          <w:szCs w:val="22"/>
        </w:rPr>
        <w:t xml:space="preserve"> beschikbaar</w:t>
      </w:r>
      <w:r w:rsidR="00AD688C" w:rsidRPr="00512338">
        <w:rPr>
          <w:rFonts w:ascii="Calibri" w:hAnsi="Calibri" w:cs="Calibri"/>
          <w:sz w:val="22"/>
          <w:szCs w:val="22"/>
        </w:rPr>
        <w:t>.</w:t>
      </w:r>
      <w:r w:rsidRPr="00512338">
        <w:rPr>
          <w:rFonts w:ascii="Calibri" w:hAnsi="Calibri" w:cs="Calibri"/>
          <w:sz w:val="22"/>
          <w:szCs w:val="22"/>
        </w:rPr>
        <w:t xml:space="preserve"> </w:t>
      </w:r>
      <w:r w:rsidR="00AD688C" w:rsidRPr="00512338">
        <w:rPr>
          <w:rFonts w:ascii="Calibri" w:eastAsiaTheme="minorHAnsi" w:hAnsi="Calibri" w:cs="Calibri"/>
          <w:sz w:val="22"/>
          <w:szCs w:val="22"/>
        </w:rPr>
        <w:t xml:space="preserve">De belangrijkste uitdaging ligt daarom niet in verdere kennisontwikkeling, maar in een consistente toepassing van bestaande aanbevelingen in de dagelijkse praktijk. Opname op de implementatieagenda kan bijdragen aan landelijke zichtbaarheid, implementatieondersteuning en monitoring. </w:t>
      </w:r>
    </w:p>
    <w:p w14:paraId="1C1086F7" w14:textId="77777777" w:rsidR="00FF221C" w:rsidRPr="00B50BB2" w:rsidRDefault="00FF221C" w:rsidP="00512338">
      <w:pPr>
        <w:spacing w:line="276" w:lineRule="auto"/>
        <w:rPr>
          <w:rFonts w:ascii="Calibri" w:hAnsi="Calibri" w:cs="Calibri"/>
          <w:sz w:val="10"/>
          <w:szCs w:val="10"/>
        </w:rPr>
      </w:pPr>
    </w:p>
    <w:p w14:paraId="1AE56237" w14:textId="77777777" w:rsidR="00FF221C" w:rsidRPr="00512338" w:rsidRDefault="00FF221C" w:rsidP="00512338">
      <w:pPr>
        <w:spacing w:line="276" w:lineRule="auto"/>
        <w:rPr>
          <w:rFonts w:ascii="Calibri" w:hAnsi="Calibri" w:cs="Calibri"/>
          <w:b/>
          <w:bCs/>
          <w:sz w:val="22"/>
          <w:szCs w:val="22"/>
        </w:rPr>
      </w:pPr>
      <w:r w:rsidRPr="00512338">
        <w:rPr>
          <w:rFonts w:ascii="Calibri" w:hAnsi="Calibri" w:cs="Calibri"/>
          <w:b/>
          <w:bCs/>
          <w:sz w:val="22"/>
          <w:szCs w:val="22"/>
        </w:rPr>
        <w:t>Relatie met De Toekomstbestendige Neuroloog</w:t>
      </w:r>
    </w:p>
    <w:p w14:paraId="2408E26F" w14:textId="7840107A" w:rsidR="003D0B5C" w:rsidRPr="00512338" w:rsidRDefault="00FF221C" w:rsidP="00512338">
      <w:pPr>
        <w:spacing w:line="276" w:lineRule="auto"/>
        <w:rPr>
          <w:rFonts w:ascii="Calibri" w:hAnsi="Calibri" w:cs="Calibri"/>
          <w:sz w:val="22"/>
          <w:szCs w:val="22"/>
        </w:rPr>
      </w:pPr>
      <w:r w:rsidRPr="00512338">
        <w:rPr>
          <w:rFonts w:ascii="Calibri" w:hAnsi="Calibri" w:cs="Calibri"/>
          <w:sz w:val="22"/>
          <w:szCs w:val="22"/>
        </w:rPr>
        <w:t>De Verstandige Keuzes sluiten inhoudelijk aan bij het programma De Toekomstbestendige Neuroloog, waarin thema’s als duurzame inzetbaarheid van personeel, passende zorg, anders organiseren van zorg en het verminderen van laagwaardige zorg centraal staan.</w:t>
      </w:r>
      <w:r w:rsidR="00E229D9">
        <w:rPr>
          <w:rFonts w:ascii="Calibri" w:hAnsi="Calibri" w:cs="Calibri"/>
          <w:sz w:val="22"/>
          <w:szCs w:val="22"/>
        </w:rPr>
        <w:t xml:space="preserve"> </w:t>
      </w:r>
      <w:r w:rsidR="009D05FF" w:rsidRPr="00512338">
        <w:rPr>
          <w:rFonts w:ascii="Calibri" w:hAnsi="Calibri" w:cs="Calibri"/>
          <w:sz w:val="22"/>
          <w:szCs w:val="22"/>
        </w:rPr>
        <w:t>De aanbevelingen dragen hieraan bij door neurologische expertise gericht in te zetten waar deze daadwerkelijk meerwaarde heeft, terwijl onnodige verwijzingen, controles en diagnostiek worden voorkomen. Daarmee ontstaat meer ruimte voor patiënten met een complexe of urgente neurologische zorgvraag en wordt schaarse capaciteit doelmatiger benut.</w:t>
      </w:r>
    </w:p>
    <w:p w14:paraId="30223A85" w14:textId="77777777" w:rsidR="009D05FF" w:rsidRPr="00B50BB2" w:rsidRDefault="009D05FF" w:rsidP="00512338">
      <w:pPr>
        <w:spacing w:line="276" w:lineRule="auto"/>
        <w:rPr>
          <w:rFonts w:ascii="Calibri" w:hAnsi="Calibri" w:cs="Calibri"/>
          <w:sz w:val="10"/>
          <w:szCs w:val="10"/>
        </w:rPr>
      </w:pPr>
    </w:p>
    <w:p w14:paraId="3E50693F" w14:textId="77777777" w:rsidR="00FF221C" w:rsidRPr="00512338" w:rsidRDefault="00FF221C" w:rsidP="00512338">
      <w:pPr>
        <w:spacing w:line="276" w:lineRule="auto"/>
        <w:rPr>
          <w:rFonts w:ascii="Calibri" w:hAnsi="Calibri" w:cs="Calibri"/>
          <w:b/>
          <w:bCs/>
          <w:sz w:val="22"/>
          <w:szCs w:val="22"/>
        </w:rPr>
      </w:pPr>
      <w:r w:rsidRPr="00512338">
        <w:rPr>
          <w:rFonts w:ascii="Calibri" w:hAnsi="Calibri" w:cs="Calibri"/>
          <w:b/>
          <w:bCs/>
          <w:sz w:val="22"/>
          <w:szCs w:val="22"/>
        </w:rPr>
        <w:t>Verdere implementatie en doorontwikkeling</w:t>
      </w:r>
    </w:p>
    <w:p w14:paraId="2DE26B02" w14:textId="77777777" w:rsidR="00FF221C" w:rsidRPr="00512338" w:rsidRDefault="00FF221C" w:rsidP="00512338">
      <w:pPr>
        <w:spacing w:line="276" w:lineRule="auto"/>
        <w:rPr>
          <w:rFonts w:ascii="Calibri" w:hAnsi="Calibri" w:cs="Calibri"/>
          <w:sz w:val="22"/>
          <w:szCs w:val="22"/>
        </w:rPr>
      </w:pPr>
      <w:r w:rsidRPr="00512338">
        <w:rPr>
          <w:rFonts w:ascii="Calibri" w:hAnsi="Calibri" w:cs="Calibri"/>
          <w:sz w:val="22"/>
          <w:szCs w:val="22"/>
        </w:rPr>
        <w:t>Voor meerdere Verstandige Keuzes zijn aanvullende implementatiestappen wenselijk, zoals:</w:t>
      </w:r>
    </w:p>
    <w:p w14:paraId="71FCD21A" w14:textId="278A2BDF" w:rsidR="005C0E09" w:rsidRPr="00B50BB2" w:rsidRDefault="005C0E09" w:rsidP="00170552">
      <w:pPr>
        <w:pStyle w:val="Lijstalinea"/>
        <w:numPr>
          <w:ilvl w:val="0"/>
          <w:numId w:val="8"/>
        </w:numPr>
        <w:spacing w:line="276" w:lineRule="auto"/>
        <w:rPr>
          <w:rFonts w:ascii="Calibri" w:hAnsi="Calibri" w:cs="Calibri"/>
          <w:sz w:val="22"/>
          <w:szCs w:val="22"/>
        </w:rPr>
      </w:pPr>
      <w:proofErr w:type="gramStart"/>
      <w:r w:rsidRPr="00B50BB2">
        <w:rPr>
          <w:rFonts w:ascii="Calibri" w:hAnsi="Calibri" w:cs="Calibri"/>
          <w:sz w:val="22"/>
          <w:szCs w:val="22"/>
        </w:rPr>
        <w:t>het</w:t>
      </w:r>
      <w:proofErr w:type="gramEnd"/>
      <w:r w:rsidRPr="00B50BB2">
        <w:rPr>
          <w:rFonts w:ascii="Calibri" w:hAnsi="Calibri" w:cs="Calibri"/>
          <w:sz w:val="22"/>
          <w:szCs w:val="22"/>
        </w:rPr>
        <w:t xml:space="preserve"> borgen van verwijs- en triagecriteria in verwijsplatforms, regionale werkafspraken en lokale protocollen;</w:t>
      </w:r>
    </w:p>
    <w:p w14:paraId="0B151C05" w14:textId="41E04704" w:rsidR="005C0E09" w:rsidRPr="00B50BB2" w:rsidRDefault="005C0E09" w:rsidP="00170552">
      <w:pPr>
        <w:pStyle w:val="Lijstalinea"/>
        <w:numPr>
          <w:ilvl w:val="0"/>
          <w:numId w:val="8"/>
        </w:numPr>
        <w:spacing w:line="276" w:lineRule="auto"/>
        <w:rPr>
          <w:rFonts w:ascii="Calibri" w:hAnsi="Calibri" w:cs="Calibri"/>
          <w:sz w:val="22"/>
          <w:szCs w:val="22"/>
        </w:rPr>
      </w:pPr>
      <w:proofErr w:type="gramStart"/>
      <w:r w:rsidRPr="00B50BB2">
        <w:rPr>
          <w:rFonts w:ascii="Calibri" w:hAnsi="Calibri" w:cs="Calibri"/>
          <w:sz w:val="22"/>
          <w:szCs w:val="22"/>
        </w:rPr>
        <w:t>het</w:t>
      </w:r>
      <w:proofErr w:type="gramEnd"/>
      <w:r w:rsidRPr="00B50BB2">
        <w:rPr>
          <w:rFonts w:ascii="Calibri" w:hAnsi="Calibri" w:cs="Calibri"/>
          <w:sz w:val="22"/>
          <w:szCs w:val="22"/>
        </w:rPr>
        <w:t xml:space="preserve"> stimuleren van digitale </w:t>
      </w:r>
      <w:r w:rsidR="00921713" w:rsidRPr="00B50BB2">
        <w:rPr>
          <w:rFonts w:ascii="Calibri" w:hAnsi="Calibri" w:cs="Calibri"/>
          <w:sz w:val="22"/>
          <w:szCs w:val="22"/>
        </w:rPr>
        <w:t>meedenk</w:t>
      </w:r>
      <w:r w:rsidR="00921713">
        <w:rPr>
          <w:rFonts w:ascii="Calibri" w:hAnsi="Calibri" w:cs="Calibri"/>
          <w:sz w:val="22"/>
          <w:szCs w:val="22"/>
        </w:rPr>
        <w:t>adviezen</w:t>
      </w:r>
      <w:r w:rsidR="00921713" w:rsidRPr="00B50BB2">
        <w:rPr>
          <w:rFonts w:ascii="Calibri" w:hAnsi="Calibri" w:cs="Calibri"/>
          <w:sz w:val="22"/>
          <w:szCs w:val="22"/>
        </w:rPr>
        <w:t xml:space="preserve"> </w:t>
      </w:r>
      <w:r w:rsidRPr="00B50BB2">
        <w:rPr>
          <w:rFonts w:ascii="Calibri" w:hAnsi="Calibri" w:cs="Calibri"/>
          <w:sz w:val="22"/>
          <w:szCs w:val="22"/>
        </w:rPr>
        <w:t>tussen huisarts en neuroloog;</w:t>
      </w:r>
    </w:p>
    <w:p w14:paraId="43E0A6EF" w14:textId="3F209499" w:rsidR="005C0E09" w:rsidRPr="00B50BB2" w:rsidRDefault="00431E7A" w:rsidP="00170552">
      <w:pPr>
        <w:pStyle w:val="Lijstalinea"/>
        <w:numPr>
          <w:ilvl w:val="0"/>
          <w:numId w:val="8"/>
        </w:numPr>
        <w:spacing w:line="276" w:lineRule="auto"/>
        <w:rPr>
          <w:rFonts w:ascii="Calibri" w:hAnsi="Calibri" w:cs="Calibri"/>
          <w:sz w:val="22"/>
          <w:szCs w:val="22"/>
        </w:rPr>
      </w:pPr>
      <w:proofErr w:type="gramStart"/>
      <w:r w:rsidRPr="00B50BB2">
        <w:rPr>
          <w:rFonts w:ascii="Calibri" w:hAnsi="Calibri" w:cs="Calibri"/>
          <w:sz w:val="22"/>
          <w:szCs w:val="22"/>
        </w:rPr>
        <w:t>het</w:t>
      </w:r>
      <w:proofErr w:type="gramEnd"/>
      <w:r w:rsidRPr="00B50BB2">
        <w:rPr>
          <w:rFonts w:ascii="Calibri" w:hAnsi="Calibri" w:cs="Calibri"/>
          <w:sz w:val="22"/>
          <w:szCs w:val="22"/>
        </w:rPr>
        <w:t xml:space="preserve"> versterken van regionale samenwerking tussen neurologen,</w:t>
      </w:r>
      <w:r w:rsidR="005C0E09" w:rsidRPr="00B50BB2">
        <w:rPr>
          <w:rFonts w:ascii="Calibri" w:hAnsi="Calibri" w:cs="Calibri"/>
          <w:sz w:val="22"/>
          <w:szCs w:val="22"/>
        </w:rPr>
        <w:t xml:space="preserve"> huisartsen, </w:t>
      </w:r>
      <w:r w:rsidRPr="00B50BB2">
        <w:rPr>
          <w:rFonts w:ascii="Calibri" w:hAnsi="Calibri" w:cs="Calibri"/>
          <w:sz w:val="22"/>
          <w:szCs w:val="22"/>
        </w:rPr>
        <w:t>en andere betrokken zorgverleners</w:t>
      </w:r>
      <w:r w:rsidR="005C0E09" w:rsidRPr="00B50BB2">
        <w:rPr>
          <w:rFonts w:ascii="Calibri" w:hAnsi="Calibri" w:cs="Calibri"/>
          <w:sz w:val="22"/>
          <w:szCs w:val="22"/>
        </w:rPr>
        <w:t>;</w:t>
      </w:r>
    </w:p>
    <w:p w14:paraId="1C7104BB" w14:textId="56DB071D" w:rsidR="005C0E09" w:rsidRPr="00B50BB2" w:rsidRDefault="005C0E09" w:rsidP="00170552">
      <w:pPr>
        <w:pStyle w:val="Lijstalinea"/>
        <w:numPr>
          <w:ilvl w:val="0"/>
          <w:numId w:val="8"/>
        </w:numPr>
        <w:spacing w:line="276" w:lineRule="auto"/>
        <w:rPr>
          <w:rFonts w:ascii="Calibri" w:hAnsi="Calibri" w:cs="Calibri"/>
          <w:sz w:val="22"/>
          <w:szCs w:val="22"/>
        </w:rPr>
      </w:pPr>
      <w:proofErr w:type="gramStart"/>
      <w:r w:rsidRPr="00B50BB2">
        <w:rPr>
          <w:rFonts w:ascii="Calibri" w:hAnsi="Calibri" w:cs="Calibri"/>
          <w:sz w:val="22"/>
          <w:szCs w:val="22"/>
        </w:rPr>
        <w:t>het</w:t>
      </w:r>
      <w:proofErr w:type="gramEnd"/>
      <w:r w:rsidRPr="00B50BB2">
        <w:rPr>
          <w:rFonts w:ascii="Calibri" w:hAnsi="Calibri" w:cs="Calibri"/>
          <w:sz w:val="22"/>
          <w:szCs w:val="22"/>
        </w:rPr>
        <w:t xml:space="preserve"> ontwikkelen en delen van goede praktijkvoorbeelden;</w:t>
      </w:r>
    </w:p>
    <w:p w14:paraId="20BA9DC1" w14:textId="579E35C3" w:rsidR="006C4D6D" w:rsidRPr="00B50BB2" w:rsidRDefault="005C0E09" w:rsidP="00170552">
      <w:pPr>
        <w:pStyle w:val="Lijstalinea"/>
        <w:numPr>
          <w:ilvl w:val="0"/>
          <w:numId w:val="8"/>
        </w:numPr>
        <w:spacing w:line="276" w:lineRule="auto"/>
        <w:rPr>
          <w:rFonts w:ascii="Calibri" w:hAnsi="Calibri" w:cs="Calibri"/>
          <w:sz w:val="22"/>
          <w:szCs w:val="22"/>
        </w:rPr>
      </w:pPr>
      <w:proofErr w:type="gramStart"/>
      <w:r w:rsidRPr="00B50BB2">
        <w:rPr>
          <w:rFonts w:ascii="Calibri" w:hAnsi="Calibri" w:cs="Calibri"/>
          <w:sz w:val="22"/>
          <w:szCs w:val="22"/>
        </w:rPr>
        <w:t>het</w:t>
      </w:r>
      <w:proofErr w:type="gramEnd"/>
      <w:r w:rsidRPr="00B50BB2">
        <w:rPr>
          <w:rFonts w:ascii="Calibri" w:hAnsi="Calibri" w:cs="Calibri"/>
          <w:sz w:val="22"/>
          <w:szCs w:val="22"/>
        </w:rPr>
        <w:t xml:space="preserve"> monitoren van implementatie en effecten op verwijzingen, diagnostiek en zorggebruik.</w:t>
      </w:r>
    </w:p>
    <w:p w14:paraId="7D1017A7" w14:textId="2908B7BE" w:rsidR="0043358D" w:rsidRPr="00522AA0" w:rsidRDefault="00D13695" w:rsidP="00B50BB2">
      <w:pPr>
        <w:pStyle w:val="isselectedend"/>
        <w:spacing w:before="0" w:beforeAutospacing="0"/>
      </w:pPr>
      <w:r w:rsidRPr="00D13695">
        <w:rPr>
          <w:rFonts w:ascii="Calibri" w:hAnsi="Calibri" w:cs="Calibri"/>
          <w:sz w:val="22"/>
          <w:szCs w:val="22"/>
        </w:rPr>
        <w:t xml:space="preserve">Daarnaast kunnen de Verstandige Keuzes aanleiding geven tot verdere evaluatie, implementatieonderzoek of opname in toekomstige richtlijn- en implementatietrajecten. </w:t>
      </w:r>
      <w:r w:rsidR="00B96765" w:rsidRPr="00522AA0">
        <w:br w:type="page"/>
      </w:r>
    </w:p>
    <w:p w14:paraId="459FB5DF" w14:textId="4C01D333" w:rsidR="007B2545" w:rsidRPr="00B50BB2" w:rsidRDefault="007B2545" w:rsidP="0055215B">
      <w:pPr>
        <w:pStyle w:val="Kop1"/>
        <w:rPr>
          <w:sz w:val="36"/>
          <w:szCs w:val="36"/>
        </w:rPr>
      </w:pPr>
      <w:bookmarkStart w:id="9" w:name="_Toc229518440"/>
      <w:r w:rsidRPr="00B50BB2">
        <w:rPr>
          <w:sz w:val="36"/>
          <w:szCs w:val="36"/>
        </w:rPr>
        <w:lastRenderedPageBreak/>
        <w:t>Samenstelling van de werkgroep</w:t>
      </w:r>
      <w:bookmarkEnd w:id="9"/>
      <w:r w:rsidRPr="00B50BB2">
        <w:rPr>
          <w:sz w:val="36"/>
          <w:szCs w:val="36"/>
        </w:rPr>
        <w:t xml:space="preserve"> </w:t>
      </w:r>
    </w:p>
    <w:p w14:paraId="39D312CE" w14:textId="53CB1DB8" w:rsidR="00346993" w:rsidRPr="00A560E2" w:rsidRDefault="00346993" w:rsidP="00346993">
      <w:pPr>
        <w:spacing w:before="100" w:beforeAutospacing="1" w:after="100" w:afterAutospacing="1"/>
        <w:rPr>
          <w:rFonts w:ascii="Calibri" w:hAnsi="Calibri" w:cs="Calibri"/>
          <w:sz w:val="22"/>
          <w:szCs w:val="22"/>
        </w:rPr>
      </w:pPr>
      <w:r w:rsidRPr="00A560E2">
        <w:rPr>
          <w:rFonts w:ascii="Calibri" w:hAnsi="Calibri" w:cs="Calibri"/>
          <w:sz w:val="22"/>
          <w:szCs w:val="22"/>
        </w:rPr>
        <w:t>De werkgroep Verstandige Keuzes Neurologie 2026 is samengesteld vanuit leden van de Nederlandse Vereniging voor Neurologie (NVN). Daarbij is gestreefd naar</w:t>
      </w:r>
      <w:r>
        <w:rPr>
          <w:rFonts w:ascii="Calibri" w:hAnsi="Calibri" w:cs="Calibri"/>
          <w:sz w:val="22"/>
          <w:szCs w:val="22"/>
        </w:rPr>
        <w:t xml:space="preserve"> een brede</w:t>
      </w:r>
      <w:r w:rsidRPr="00A560E2">
        <w:rPr>
          <w:rFonts w:ascii="Calibri" w:hAnsi="Calibri" w:cs="Calibri"/>
          <w:sz w:val="22"/>
          <w:szCs w:val="22"/>
        </w:rPr>
        <w:t xml:space="preserve"> vertegenwoordiging</w:t>
      </w:r>
      <w:r>
        <w:rPr>
          <w:rFonts w:ascii="Calibri" w:hAnsi="Calibri" w:cs="Calibri"/>
          <w:sz w:val="22"/>
          <w:szCs w:val="22"/>
        </w:rPr>
        <w:t xml:space="preserve"> van de achterban</w:t>
      </w:r>
      <w:r w:rsidRPr="00A560E2">
        <w:rPr>
          <w:rFonts w:ascii="Calibri" w:hAnsi="Calibri" w:cs="Calibri"/>
          <w:sz w:val="22"/>
          <w:szCs w:val="22"/>
        </w:rPr>
        <w:t xml:space="preserve">. De werkgroep werd ondersteund door </w:t>
      </w:r>
      <w:r>
        <w:rPr>
          <w:rFonts w:ascii="Calibri" w:hAnsi="Calibri" w:cs="Calibri"/>
          <w:sz w:val="22"/>
          <w:szCs w:val="22"/>
        </w:rPr>
        <w:t>het bureau van</w:t>
      </w:r>
      <w:r w:rsidR="00921713">
        <w:rPr>
          <w:rFonts w:ascii="Calibri" w:hAnsi="Calibri" w:cs="Calibri"/>
          <w:sz w:val="22"/>
          <w:szCs w:val="22"/>
        </w:rPr>
        <w:t xml:space="preserve"> de </w:t>
      </w:r>
      <w:r w:rsidRPr="00A560E2">
        <w:rPr>
          <w:rFonts w:ascii="Calibri" w:hAnsi="Calibri" w:cs="Calibri"/>
          <w:sz w:val="22"/>
          <w:szCs w:val="22"/>
        </w:rPr>
        <w:t>NVN en het Kennisinstituut van de Federatie Medisch Specialisten.</w:t>
      </w:r>
    </w:p>
    <w:p w14:paraId="71852AC5" w14:textId="77777777" w:rsidR="00346993" w:rsidRPr="008E0520" w:rsidRDefault="00346993" w:rsidP="00170552">
      <w:pPr>
        <w:numPr>
          <w:ilvl w:val="0"/>
          <w:numId w:val="2"/>
        </w:numPr>
        <w:spacing w:before="100" w:beforeAutospacing="1" w:after="100" w:afterAutospacing="1"/>
        <w:rPr>
          <w:rFonts w:ascii="Calibri" w:hAnsi="Calibri" w:cs="Calibri"/>
          <w:sz w:val="22"/>
          <w:szCs w:val="22"/>
        </w:rPr>
      </w:pPr>
      <w:r w:rsidRPr="008E0520">
        <w:rPr>
          <w:rFonts w:ascii="Calibri" w:hAnsi="Calibri" w:cs="Calibri"/>
          <w:sz w:val="22"/>
          <w:szCs w:val="22"/>
        </w:rPr>
        <w:t>Daniel Aaftink, Medische Kliniek Velzen</w:t>
      </w:r>
    </w:p>
    <w:p w14:paraId="1CC6C1C7" w14:textId="77777777" w:rsidR="00346993" w:rsidRPr="008E0520" w:rsidRDefault="00346993" w:rsidP="00170552">
      <w:pPr>
        <w:numPr>
          <w:ilvl w:val="0"/>
          <w:numId w:val="2"/>
        </w:numPr>
        <w:spacing w:before="100" w:beforeAutospacing="1" w:after="100" w:afterAutospacing="1"/>
        <w:rPr>
          <w:rFonts w:ascii="Calibri" w:hAnsi="Calibri" w:cs="Calibri"/>
          <w:sz w:val="22"/>
          <w:szCs w:val="22"/>
        </w:rPr>
      </w:pPr>
      <w:r w:rsidRPr="008E0520">
        <w:rPr>
          <w:rFonts w:ascii="Calibri" w:hAnsi="Calibri" w:cs="Calibri"/>
          <w:sz w:val="22"/>
          <w:szCs w:val="22"/>
        </w:rPr>
        <w:t xml:space="preserve">Ilja Bot, Maasziekenhuis </w:t>
      </w:r>
      <w:proofErr w:type="spellStart"/>
      <w:r w:rsidRPr="008E0520">
        <w:rPr>
          <w:rFonts w:ascii="Calibri" w:hAnsi="Calibri" w:cs="Calibri"/>
          <w:sz w:val="22"/>
          <w:szCs w:val="22"/>
        </w:rPr>
        <w:t>Pantein</w:t>
      </w:r>
      <w:proofErr w:type="spellEnd"/>
      <w:r w:rsidRPr="008E0520">
        <w:rPr>
          <w:rFonts w:ascii="Calibri" w:hAnsi="Calibri" w:cs="Calibri"/>
          <w:sz w:val="22"/>
          <w:szCs w:val="22"/>
        </w:rPr>
        <w:t>,</w:t>
      </w:r>
    </w:p>
    <w:p w14:paraId="1004ACAA" w14:textId="77777777" w:rsidR="00346993" w:rsidRPr="008E0520" w:rsidRDefault="00346993" w:rsidP="00170552">
      <w:pPr>
        <w:numPr>
          <w:ilvl w:val="0"/>
          <w:numId w:val="2"/>
        </w:numPr>
        <w:spacing w:before="100" w:beforeAutospacing="1" w:after="100" w:afterAutospacing="1"/>
        <w:rPr>
          <w:rFonts w:ascii="Calibri" w:hAnsi="Calibri" w:cs="Calibri"/>
          <w:sz w:val="22"/>
          <w:szCs w:val="22"/>
        </w:rPr>
      </w:pPr>
      <w:r w:rsidRPr="008E0520">
        <w:rPr>
          <w:rFonts w:ascii="Calibri" w:hAnsi="Calibri" w:cs="Calibri"/>
          <w:sz w:val="22"/>
          <w:szCs w:val="22"/>
        </w:rPr>
        <w:t>Maarten van Gemert, Meander Medisch Centrum</w:t>
      </w:r>
    </w:p>
    <w:p w14:paraId="1E60A02B" w14:textId="77777777" w:rsidR="00346993" w:rsidRPr="008E0520" w:rsidRDefault="00346993" w:rsidP="00170552">
      <w:pPr>
        <w:numPr>
          <w:ilvl w:val="0"/>
          <w:numId w:val="2"/>
        </w:numPr>
        <w:spacing w:before="100" w:beforeAutospacing="1" w:after="100" w:afterAutospacing="1"/>
        <w:rPr>
          <w:rFonts w:ascii="Calibri" w:hAnsi="Calibri" w:cs="Calibri"/>
          <w:sz w:val="22"/>
          <w:szCs w:val="22"/>
        </w:rPr>
      </w:pPr>
      <w:r w:rsidRPr="008E0520">
        <w:rPr>
          <w:rFonts w:ascii="Calibri" w:hAnsi="Calibri" w:cs="Calibri"/>
          <w:sz w:val="22"/>
          <w:szCs w:val="22"/>
        </w:rPr>
        <w:t xml:space="preserve">prof. dr. Marian Majoie, </w:t>
      </w:r>
      <w:proofErr w:type="spellStart"/>
      <w:r w:rsidRPr="008E0520">
        <w:rPr>
          <w:rFonts w:ascii="Calibri" w:hAnsi="Calibri" w:cs="Calibri"/>
          <w:sz w:val="22"/>
          <w:szCs w:val="22"/>
        </w:rPr>
        <w:t>Kempenhaeghe</w:t>
      </w:r>
      <w:proofErr w:type="spellEnd"/>
    </w:p>
    <w:p w14:paraId="7BED641D" w14:textId="77777777" w:rsidR="00346993" w:rsidRPr="008E0520" w:rsidRDefault="00346993" w:rsidP="00170552">
      <w:pPr>
        <w:numPr>
          <w:ilvl w:val="0"/>
          <w:numId w:val="2"/>
        </w:numPr>
        <w:spacing w:before="100" w:beforeAutospacing="1" w:after="100" w:afterAutospacing="1"/>
        <w:rPr>
          <w:rFonts w:ascii="Calibri" w:hAnsi="Calibri" w:cs="Calibri"/>
          <w:sz w:val="22"/>
          <w:szCs w:val="22"/>
        </w:rPr>
      </w:pPr>
      <w:r w:rsidRPr="008E0520">
        <w:rPr>
          <w:rFonts w:ascii="Calibri" w:hAnsi="Calibri" w:cs="Calibri"/>
          <w:sz w:val="22"/>
          <w:szCs w:val="22"/>
        </w:rPr>
        <w:t xml:space="preserve">dr. Nadine </w:t>
      </w:r>
      <w:proofErr w:type="spellStart"/>
      <w:r w:rsidRPr="008E0520">
        <w:rPr>
          <w:rFonts w:ascii="Calibri" w:hAnsi="Calibri" w:cs="Calibri"/>
          <w:sz w:val="22"/>
          <w:szCs w:val="22"/>
        </w:rPr>
        <w:t>Pelzer</w:t>
      </w:r>
      <w:proofErr w:type="spellEnd"/>
      <w:r w:rsidRPr="008E0520">
        <w:rPr>
          <w:rFonts w:ascii="Calibri" w:hAnsi="Calibri" w:cs="Calibri"/>
          <w:sz w:val="22"/>
          <w:szCs w:val="22"/>
        </w:rPr>
        <w:t>, Canisius Wilhelmina Ziekenhuis</w:t>
      </w:r>
    </w:p>
    <w:p w14:paraId="5D26AC36" w14:textId="77777777" w:rsidR="00346993" w:rsidRPr="008E0520" w:rsidRDefault="00346993" w:rsidP="00170552">
      <w:pPr>
        <w:numPr>
          <w:ilvl w:val="0"/>
          <w:numId w:val="2"/>
        </w:numPr>
        <w:spacing w:before="100" w:beforeAutospacing="1" w:after="100" w:afterAutospacing="1"/>
        <w:rPr>
          <w:rFonts w:ascii="Calibri" w:hAnsi="Calibri" w:cs="Calibri"/>
          <w:sz w:val="22"/>
          <w:szCs w:val="22"/>
        </w:rPr>
      </w:pPr>
      <w:r w:rsidRPr="008E0520">
        <w:rPr>
          <w:rFonts w:ascii="Calibri" w:hAnsi="Calibri" w:cs="Calibri"/>
          <w:sz w:val="22"/>
          <w:szCs w:val="22"/>
        </w:rPr>
        <w:t>Merve Ulubas, Ziekenhuis Rivierenland</w:t>
      </w:r>
    </w:p>
    <w:p w14:paraId="2FA9813D" w14:textId="77777777" w:rsidR="00346993" w:rsidRPr="008E0520" w:rsidRDefault="00346993" w:rsidP="00170552">
      <w:pPr>
        <w:numPr>
          <w:ilvl w:val="0"/>
          <w:numId w:val="2"/>
        </w:numPr>
        <w:spacing w:before="100" w:beforeAutospacing="1" w:after="100" w:afterAutospacing="1"/>
        <w:rPr>
          <w:rFonts w:ascii="Calibri" w:hAnsi="Calibri" w:cs="Calibri"/>
          <w:sz w:val="22"/>
          <w:szCs w:val="22"/>
        </w:rPr>
      </w:pPr>
      <w:r w:rsidRPr="008E0520">
        <w:rPr>
          <w:rFonts w:ascii="Calibri" w:hAnsi="Calibri" w:cs="Calibri"/>
          <w:sz w:val="22"/>
          <w:szCs w:val="22"/>
        </w:rPr>
        <w:t>dr. Esther Verstraete, Rijnstate</w:t>
      </w:r>
    </w:p>
    <w:p w14:paraId="14CFD109" w14:textId="77777777" w:rsidR="00346993" w:rsidRPr="008E0520" w:rsidRDefault="00346993" w:rsidP="00170552">
      <w:pPr>
        <w:numPr>
          <w:ilvl w:val="0"/>
          <w:numId w:val="2"/>
        </w:numPr>
        <w:spacing w:before="100" w:beforeAutospacing="1" w:after="100" w:afterAutospacing="1"/>
        <w:rPr>
          <w:rFonts w:ascii="Calibri" w:hAnsi="Calibri" w:cs="Calibri"/>
          <w:sz w:val="22"/>
          <w:szCs w:val="22"/>
        </w:rPr>
      </w:pPr>
      <w:r w:rsidRPr="008E0520">
        <w:rPr>
          <w:rFonts w:ascii="Calibri" w:hAnsi="Calibri" w:cs="Calibri"/>
          <w:sz w:val="22"/>
          <w:szCs w:val="22"/>
        </w:rPr>
        <w:t xml:space="preserve">Sander Wagemakers, Groene Hart Ziekenhuis </w:t>
      </w:r>
    </w:p>
    <w:p w14:paraId="039311E0" w14:textId="77777777" w:rsidR="00346993" w:rsidRPr="008E0520" w:rsidRDefault="00346993" w:rsidP="00170552">
      <w:pPr>
        <w:numPr>
          <w:ilvl w:val="0"/>
          <w:numId w:val="2"/>
        </w:numPr>
        <w:spacing w:before="100" w:beforeAutospacing="1" w:after="100" w:afterAutospacing="1"/>
        <w:rPr>
          <w:rFonts w:ascii="Calibri" w:hAnsi="Calibri" w:cs="Calibri"/>
          <w:sz w:val="22"/>
          <w:szCs w:val="22"/>
        </w:rPr>
      </w:pPr>
      <w:r w:rsidRPr="008E0520">
        <w:rPr>
          <w:rFonts w:ascii="Calibri" w:hAnsi="Calibri" w:cs="Calibri"/>
          <w:sz w:val="22"/>
          <w:szCs w:val="22"/>
        </w:rPr>
        <w:t>dr. Marielle Wohlgemuth (voorzitter), Elisabeth-</w:t>
      </w:r>
      <w:proofErr w:type="spellStart"/>
      <w:r w:rsidRPr="008E0520">
        <w:rPr>
          <w:rFonts w:ascii="Calibri" w:hAnsi="Calibri" w:cs="Calibri"/>
          <w:sz w:val="22"/>
          <w:szCs w:val="22"/>
        </w:rPr>
        <w:t>TweeSteden</w:t>
      </w:r>
      <w:proofErr w:type="spellEnd"/>
      <w:r w:rsidRPr="008E0520">
        <w:rPr>
          <w:rFonts w:ascii="Calibri" w:hAnsi="Calibri" w:cs="Calibri"/>
          <w:sz w:val="22"/>
          <w:szCs w:val="22"/>
        </w:rPr>
        <w:t xml:space="preserve"> Ziekenhuis</w:t>
      </w:r>
    </w:p>
    <w:p w14:paraId="3C217C6B" w14:textId="77777777" w:rsidR="00346993" w:rsidRPr="008E0520" w:rsidRDefault="00346993" w:rsidP="00346993">
      <w:pPr>
        <w:rPr>
          <w:rFonts w:ascii="Calibri" w:hAnsi="Calibri" w:cs="Calibri"/>
          <w:sz w:val="22"/>
          <w:szCs w:val="22"/>
        </w:rPr>
      </w:pPr>
      <w:r w:rsidRPr="008E0520">
        <w:rPr>
          <w:rFonts w:ascii="Calibri" w:hAnsi="Calibri" w:cs="Calibri"/>
          <w:sz w:val="22"/>
          <w:szCs w:val="22"/>
        </w:rPr>
        <w:t>Met ondersteuning van:</w:t>
      </w:r>
    </w:p>
    <w:p w14:paraId="6BAED7A1" w14:textId="77777777" w:rsidR="00346993" w:rsidRPr="008E0520" w:rsidRDefault="00346993" w:rsidP="00346993">
      <w:pPr>
        <w:pStyle w:val="Lijstalinea"/>
        <w:numPr>
          <w:ilvl w:val="0"/>
          <w:numId w:val="1"/>
        </w:numPr>
        <w:rPr>
          <w:rFonts w:ascii="Calibri" w:hAnsi="Calibri" w:cs="Calibri"/>
          <w:sz w:val="22"/>
          <w:szCs w:val="22"/>
        </w:rPr>
      </w:pPr>
      <w:r w:rsidRPr="008E0520">
        <w:rPr>
          <w:rFonts w:ascii="Calibri" w:hAnsi="Calibri" w:cs="Calibri"/>
          <w:sz w:val="22"/>
          <w:szCs w:val="22"/>
        </w:rPr>
        <w:t>Lisette van Leeuwen, adviseur Kennisinstituut van Medisch Specialisten</w:t>
      </w:r>
    </w:p>
    <w:p w14:paraId="2D93359F" w14:textId="77777777" w:rsidR="00346993" w:rsidRPr="008E0520" w:rsidRDefault="00346993" w:rsidP="00346993">
      <w:pPr>
        <w:pStyle w:val="Lijstalinea"/>
        <w:numPr>
          <w:ilvl w:val="0"/>
          <w:numId w:val="1"/>
        </w:numPr>
        <w:rPr>
          <w:rFonts w:ascii="Calibri" w:hAnsi="Calibri" w:cs="Calibri"/>
          <w:sz w:val="22"/>
          <w:szCs w:val="22"/>
        </w:rPr>
      </w:pPr>
      <w:r w:rsidRPr="008E0520">
        <w:rPr>
          <w:rFonts w:ascii="Calibri" w:hAnsi="Calibri" w:cs="Calibri"/>
          <w:sz w:val="22"/>
          <w:szCs w:val="22"/>
        </w:rPr>
        <w:t>Marij Smits, beleidsadviseur NVN</w:t>
      </w:r>
    </w:p>
    <w:p w14:paraId="49C24E52" w14:textId="0DD09ED0" w:rsidR="00B96765" w:rsidRPr="00CC1147" w:rsidRDefault="00B96765">
      <w:pPr>
        <w:rPr>
          <w:rFonts w:ascii="Calibri" w:hAnsi="Calibri" w:cs="Calibri"/>
        </w:rPr>
      </w:pPr>
    </w:p>
    <w:p w14:paraId="0045711A" w14:textId="77777777" w:rsidR="00A13D50" w:rsidRDefault="00A13D50">
      <w:pPr>
        <w:rPr>
          <w:rFonts w:ascii="Calibri" w:hAnsi="Calibri" w:cs="Calibri"/>
        </w:rPr>
      </w:pPr>
      <w:r>
        <w:rPr>
          <w:rFonts w:ascii="Calibri" w:hAnsi="Calibri" w:cs="Calibri"/>
        </w:rPr>
        <w:br w:type="page"/>
      </w:r>
    </w:p>
    <w:p w14:paraId="7AD9EE0E" w14:textId="77777777" w:rsidR="00921713" w:rsidRDefault="00921713">
      <w:pPr>
        <w:rPr>
          <w:rFonts w:ascii="Calibri" w:hAnsi="Calibri" w:cs="Calibri"/>
        </w:rPr>
      </w:pPr>
    </w:p>
    <w:p w14:paraId="2F6CAF69" w14:textId="7B2FFBC0" w:rsidR="00A13D50" w:rsidRDefault="006C29E0">
      <w:pPr>
        <w:rPr>
          <w:rFonts w:ascii="Calibri" w:hAnsi="Calibri" w:cs="Calibri"/>
        </w:rPr>
      </w:pPr>
      <w:r w:rsidRPr="00CC1147">
        <w:rPr>
          <w:rFonts w:ascii="Calibri" w:hAnsi="Calibri" w:cs="Calibri"/>
        </w:rPr>
        <w:t xml:space="preserve">INITIATIEF Nederlandse Vereniging voor Neurologie (NVN) </w:t>
      </w:r>
    </w:p>
    <w:p w14:paraId="3C37F5E2" w14:textId="77777777" w:rsidR="00A13D50" w:rsidRDefault="006C29E0">
      <w:pPr>
        <w:rPr>
          <w:rFonts w:ascii="Calibri" w:hAnsi="Calibri" w:cs="Calibri"/>
        </w:rPr>
      </w:pPr>
      <w:r w:rsidRPr="00CC1147">
        <w:rPr>
          <w:rFonts w:ascii="Calibri" w:hAnsi="Calibri" w:cs="Calibri"/>
        </w:rPr>
        <w:t xml:space="preserve">MET ONDERSTEUNING VAN Kennisinstituut van de Federatie Medisch Specialisten </w:t>
      </w:r>
    </w:p>
    <w:p w14:paraId="3692BAAE" w14:textId="77777777" w:rsidR="00A13D50" w:rsidRDefault="006C29E0">
      <w:pPr>
        <w:rPr>
          <w:rFonts w:ascii="Calibri" w:hAnsi="Calibri" w:cs="Calibri"/>
        </w:rPr>
      </w:pPr>
      <w:r w:rsidRPr="00CC1147">
        <w:rPr>
          <w:rFonts w:ascii="Calibri" w:hAnsi="Calibri" w:cs="Calibri"/>
        </w:rPr>
        <w:t xml:space="preserve">FINANCIERING Stichting Kwaliteitsgelden Medisch Specialisten (SKMS) </w:t>
      </w:r>
    </w:p>
    <w:p w14:paraId="730200DF" w14:textId="77777777" w:rsidR="00346993" w:rsidRDefault="006C29E0">
      <w:pPr>
        <w:rPr>
          <w:rFonts w:ascii="Calibri" w:hAnsi="Calibri" w:cs="Calibri"/>
        </w:rPr>
      </w:pPr>
      <w:r w:rsidRPr="00CC1147">
        <w:rPr>
          <w:rFonts w:ascii="Calibri" w:hAnsi="Calibri" w:cs="Calibri"/>
        </w:rPr>
        <w:t xml:space="preserve">Colofon </w:t>
      </w:r>
      <w:r w:rsidR="00A13D50">
        <w:rPr>
          <w:rFonts w:ascii="Calibri" w:hAnsi="Calibri" w:cs="Calibri"/>
        </w:rPr>
        <w:t xml:space="preserve">VERSTANDIGE KEUZES </w:t>
      </w:r>
      <w:r w:rsidRPr="00CC1147">
        <w:rPr>
          <w:rFonts w:ascii="Calibri" w:hAnsi="Calibri" w:cs="Calibri"/>
        </w:rPr>
        <w:t>NEUROLOGIE © 202</w:t>
      </w:r>
      <w:r w:rsidR="00A13D50">
        <w:rPr>
          <w:rFonts w:ascii="Calibri" w:hAnsi="Calibri" w:cs="Calibri"/>
        </w:rPr>
        <w:t>6</w:t>
      </w:r>
      <w:r w:rsidRPr="00CC1147">
        <w:rPr>
          <w:rFonts w:ascii="Calibri" w:hAnsi="Calibri" w:cs="Calibri"/>
        </w:rPr>
        <w:t xml:space="preserve"> Nederlandse Vereniging voor Neurologie Postbus 20050 3502 LB UTRECHT </w:t>
      </w:r>
    </w:p>
    <w:p w14:paraId="7E7910B3" w14:textId="3E342F29" w:rsidR="009E4C98" w:rsidRPr="00CC1147" w:rsidRDefault="006C29E0">
      <w:pPr>
        <w:rPr>
          <w:rFonts w:ascii="Calibri" w:hAnsi="Calibri" w:cs="Calibri"/>
        </w:rPr>
      </w:pPr>
      <w:r w:rsidRPr="00CC1147">
        <w:rPr>
          <w:rFonts w:ascii="Calibri" w:hAnsi="Calibri" w:cs="Calibri"/>
        </w:rPr>
        <w:t xml:space="preserve">Tel: 088-5001900 E-mail: vereniging@neurologie.nl Website: </w:t>
      </w:r>
      <w:hyperlink r:id="rId15" w:history="1">
        <w:r w:rsidR="00CC1147" w:rsidRPr="00CC1147">
          <w:rPr>
            <w:rStyle w:val="Hyperlink"/>
            <w:rFonts w:ascii="Calibri" w:hAnsi="Calibri" w:cs="Calibri"/>
          </w:rPr>
          <w:t>www.neurologie.nl</w:t>
        </w:r>
      </w:hyperlink>
    </w:p>
    <w:p w14:paraId="03106B78" w14:textId="77777777" w:rsidR="00921713" w:rsidRDefault="00921713">
      <w:pPr>
        <w:rPr>
          <w:rFonts w:ascii="Calibri" w:hAnsi="Calibri" w:cs="Calibri"/>
          <w:i/>
          <w:iCs/>
          <w:sz w:val="16"/>
          <w:szCs w:val="16"/>
        </w:rPr>
      </w:pPr>
    </w:p>
    <w:p w14:paraId="278A2B72" w14:textId="796A6E25" w:rsidR="00CC1147" w:rsidRPr="00CC1147" w:rsidRDefault="00CC1147">
      <w:pPr>
        <w:rPr>
          <w:rFonts w:ascii="Calibri" w:hAnsi="Calibri" w:cs="Calibri"/>
          <w:i/>
          <w:iCs/>
          <w:sz w:val="16"/>
          <w:szCs w:val="16"/>
        </w:rPr>
      </w:pPr>
      <w:r w:rsidRPr="00CC1147">
        <w:rPr>
          <w:rFonts w:ascii="Calibri" w:hAnsi="Calibri" w:cs="Calibri"/>
          <w:i/>
          <w:iCs/>
          <w:sz w:val="16"/>
          <w:szCs w:val="16"/>
        </w:rPr>
        <w:t>Alle rechten voorbehouden. De tekst uit deze publicatie mag worden verveelvoudigd, opgeslagen in een geautomatiseerd gegevensbestand, of openbaar gemaakt in enige vorm of op enige wijze, hetzij elektronisch, mechanisch door fotokopieën of enige andere manier, echter uitsluitend na voorafgaande toestemming van de uitgever. Toestemming voor gebruik van tekst(gedeelten) kunt u schriftelijk of per e-mail en uitsluitend bij de NVN aanvragen. Adres en e-mailadres: zie boven.</w:t>
      </w:r>
    </w:p>
    <w:sectPr w:rsidR="00CC1147" w:rsidRPr="00CC1147" w:rsidSect="00275144">
      <w:headerReference w:type="default" r:id="rId16"/>
      <w:footerReference w:type="even" r:id="rId17"/>
      <w:footerReference w:type="default" r:id="rId18"/>
      <w:pgSz w:w="16838" w:h="11906" w:orient="landscape"/>
      <w:pgMar w:top="170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4FFB" w14:textId="77777777" w:rsidR="00170552" w:rsidRDefault="00170552" w:rsidP="00856F90">
      <w:r>
        <w:separator/>
      </w:r>
    </w:p>
  </w:endnote>
  <w:endnote w:type="continuationSeparator" w:id="0">
    <w:p w14:paraId="43F85028" w14:textId="77777777" w:rsidR="00170552" w:rsidRDefault="00170552" w:rsidP="0085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53313640"/>
      <w:docPartObj>
        <w:docPartGallery w:val="Page Numbers (Bottom of Page)"/>
        <w:docPartUnique/>
      </w:docPartObj>
    </w:sdtPr>
    <w:sdtEndPr>
      <w:rPr>
        <w:rStyle w:val="Paginanummer"/>
      </w:rPr>
    </w:sdtEndPr>
    <w:sdtContent>
      <w:p w14:paraId="6E70705A" w14:textId="29DB1490" w:rsidR="00906FFE" w:rsidRDefault="00906FFE" w:rsidP="003559F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D9F96FD" w14:textId="77777777" w:rsidR="00906FFE" w:rsidRDefault="00906FFE" w:rsidP="00856F9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21175296"/>
      <w:docPartObj>
        <w:docPartGallery w:val="Page Numbers (Bottom of Page)"/>
        <w:docPartUnique/>
      </w:docPartObj>
    </w:sdtPr>
    <w:sdtEndPr>
      <w:rPr>
        <w:rStyle w:val="Paginanummer"/>
      </w:rPr>
    </w:sdtEndPr>
    <w:sdtContent>
      <w:p w14:paraId="5100FB76" w14:textId="1DABA325" w:rsidR="00906FFE" w:rsidRPr="00275144" w:rsidRDefault="00906FFE" w:rsidP="003559FB">
        <w:pPr>
          <w:pStyle w:val="Voettekst"/>
          <w:framePr w:wrap="none" w:vAnchor="text" w:hAnchor="margin" w:xAlign="right" w:y="1"/>
          <w:rPr>
            <w:rStyle w:val="Paginanummer"/>
            <w:sz w:val="18"/>
            <w:szCs w:val="18"/>
          </w:rPr>
        </w:pPr>
        <w:r w:rsidRPr="00275144">
          <w:rPr>
            <w:rStyle w:val="Paginanummer"/>
            <w:sz w:val="18"/>
            <w:szCs w:val="18"/>
          </w:rPr>
          <w:fldChar w:fldCharType="begin"/>
        </w:r>
        <w:r w:rsidRPr="00275144">
          <w:rPr>
            <w:rStyle w:val="Paginanummer"/>
            <w:sz w:val="18"/>
            <w:szCs w:val="18"/>
          </w:rPr>
          <w:instrText xml:space="preserve"> PAGE </w:instrText>
        </w:r>
        <w:r w:rsidRPr="00275144">
          <w:rPr>
            <w:rStyle w:val="Paginanummer"/>
            <w:sz w:val="18"/>
            <w:szCs w:val="18"/>
          </w:rPr>
          <w:fldChar w:fldCharType="separate"/>
        </w:r>
        <w:r w:rsidRPr="00275144">
          <w:rPr>
            <w:rStyle w:val="Paginanummer"/>
            <w:noProof/>
            <w:sz w:val="18"/>
            <w:szCs w:val="18"/>
          </w:rPr>
          <w:t>12</w:t>
        </w:r>
        <w:r w:rsidRPr="00275144">
          <w:rPr>
            <w:rStyle w:val="Paginanummer"/>
            <w:sz w:val="18"/>
            <w:szCs w:val="18"/>
          </w:rPr>
          <w:fldChar w:fldCharType="end"/>
        </w:r>
      </w:p>
    </w:sdtContent>
  </w:sdt>
  <w:p w14:paraId="2E676E58" w14:textId="48CB43CC" w:rsidR="00906FFE" w:rsidRPr="00856F90" w:rsidRDefault="00906FFE" w:rsidP="00856F90">
    <w:pPr>
      <w:pStyle w:val="Voettekst"/>
      <w:ind w:right="360"/>
      <w:jc w:val="center"/>
      <w:rPr>
        <w:rFonts w:ascii="Calibri" w:hAnsi="Calibri" w:cs="Calibri"/>
        <w:sz w:val="20"/>
        <w:szCs w:val="20"/>
      </w:rPr>
    </w:pPr>
    <w:r w:rsidRPr="0071050C">
      <w:rPr>
        <w:rFonts w:ascii="Calibri" w:hAnsi="Calibri" w:cs="Calibri"/>
        <w:b/>
        <w:bCs/>
        <w:sz w:val="20"/>
        <w:szCs w:val="20"/>
      </w:rPr>
      <w:t>VERSTANDIGE KEUZES NEUROLOGIE</w:t>
    </w:r>
    <w:r w:rsidRPr="00856F90">
      <w:rPr>
        <w:rFonts w:ascii="Calibri" w:hAnsi="Calibri" w:cs="Calibri"/>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6EE7" w14:textId="77777777" w:rsidR="00170552" w:rsidRDefault="00170552" w:rsidP="00856F90">
      <w:r>
        <w:separator/>
      </w:r>
    </w:p>
  </w:footnote>
  <w:footnote w:type="continuationSeparator" w:id="0">
    <w:p w14:paraId="013EBD69" w14:textId="77777777" w:rsidR="00170552" w:rsidRDefault="00170552" w:rsidP="0085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C7E7" w14:textId="0D3EFC3F" w:rsidR="00D95420" w:rsidRDefault="00D95420">
    <w:pPr>
      <w:pStyle w:val="Koptekst"/>
    </w:pPr>
    <w:r>
      <w:rPr>
        <w:noProof/>
      </w:rPr>
      <w:drawing>
        <wp:anchor distT="0" distB="0" distL="114300" distR="114300" simplePos="0" relativeHeight="251659776" behindDoc="1" locked="0" layoutInCell="1" allowOverlap="1" wp14:anchorId="445FBCA7" wp14:editId="247A8B78">
          <wp:simplePos x="0" y="0"/>
          <wp:positionH relativeFrom="margin">
            <wp:align>left</wp:align>
          </wp:positionH>
          <wp:positionV relativeFrom="paragraph">
            <wp:posOffset>-316230</wp:posOffset>
          </wp:positionV>
          <wp:extent cx="2733675" cy="835660"/>
          <wp:effectExtent l="0" t="0" r="9525" b="2540"/>
          <wp:wrapNone/>
          <wp:docPr id="9367787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81559" name="Afbeelding 1594381559"/>
                  <pic:cNvPicPr/>
                </pic:nvPicPr>
                <pic:blipFill>
                  <a:blip r:embed="rId1">
                    <a:extLst>
                      <a:ext uri="{28A0092B-C50C-407E-A947-70E740481C1C}">
                        <a14:useLocalDpi xmlns:a14="http://schemas.microsoft.com/office/drawing/2010/main" val="0"/>
                      </a:ext>
                    </a:extLst>
                  </a:blip>
                  <a:stretch>
                    <a:fillRect/>
                  </a:stretch>
                </pic:blipFill>
                <pic:spPr>
                  <a:xfrm>
                    <a:off x="0" y="0"/>
                    <a:ext cx="2733675" cy="835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5AA"/>
    <w:multiLevelType w:val="hybridMultilevel"/>
    <w:tmpl w:val="40240BF6"/>
    <w:lvl w:ilvl="0" w:tplc="096834B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BC4AA0"/>
    <w:multiLevelType w:val="hybridMultilevel"/>
    <w:tmpl w:val="C1044F9E"/>
    <w:lvl w:ilvl="0" w:tplc="096834B6">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F1371AB"/>
    <w:multiLevelType w:val="hybridMultilevel"/>
    <w:tmpl w:val="5AF60CB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0E2001"/>
    <w:multiLevelType w:val="hybridMultilevel"/>
    <w:tmpl w:val="72BE7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F62330"/>
    <w:multiLevelType w:val="hybridMultilevel"/>
    <w:tmpl w:val="36280526"/>
    <w:lvl w:ilvl="0" w:tplc="DCBE0482">
      <w:start w:val="3"/>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FA7273"/>
    <w:multiLevelType w:val="multilevel"/>
    <w:tmpl w:val="09D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963A3"/>
    <w:multiLevelType w:val="hybridMultilevel"/>
    <w:tmpl w:val="5F6066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0F6D02"/>
    <w:multiLevelType w:val="hybridMultilevel"/>
    <w:tmpl w:val="8912F93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3100344">
    <w:abstractNumId w:val="4"/>
  </w:num>
  <w:num w:numId="2" w16cid:durableId="1917550470">
    <w:abstractNumId w:val="5"/>
  </w:num>
  <w:num w:numId="3" w16cid:durableId="1473137321">
    <w:abstractNumId w:val="7"/>
  </w:num>
  <w:num w:numId="4" w16cid:durableId="530074083">
    <w:abstractNumId w:val="3"/>
  </w:num>
  <w:num w:numId="5" w16cid:durableId="1461143807">
    <w:abstractNumId w:val="2"/>
  </w:num>
  <w:num w:numId="6" w16cid:durableId="1559626368">
    <w:abstractNumId w:val="6"/>
  </w:num>
  <w:num w:numId="7" w16cid:durableId="1955406155">
    <w:abstractNumId w:val="1"/>
  </w:num>
  <w:num w:numId="8" w16cid:durableId="25698199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93"/>
    <w:rsid w:val="00000ECD"/>
    <w:rsid w:val="00001666"/>
    <w:rsid w:val="00003793"/>
    <w:rsid w:val="00010530"/>
    <w:rsid w:val="00011A0A"/>
    <w:rsid w:val="00012AC2"/>
    <w:rsid w:val="00012AC8"/>
    <w:rsid w:val="000137D1"/>
    <w:rsid w:val="00022EEB"/>
    <w:rsid w:val="00032814"/>
    <w:rsid w:val="0003403B"/>
    <w:rsid w:val="00047637"/>
    <w:rsid w:val="00054F68"/>
    <w:rsid w:val="00056354"/>
    <w:rsid w:val="00062697"/>
    <w:rsid w:val="00066BBC"/>
    <w:rsid w:val="00073E2A"/>
    <w:rsid w:val="00093AF8"/>
    <w:rsid w:val="00095218"/>
    <w:rsid w:val="000A773C"/>
    <w:rsid w:val="000B2004"/>
    <w:rsid w:val="000B29AA"/>
    <w:rsid w:val="000C4274"/>
    <w:rsid w:val="000D57FF"/>
    <w:rsid w:val="000E211D"/>
    <w:rsid w:val="000E2D52"/>
    <w:rsid w:val="000E7937"/>
    <w:rsid w:val="000F0A99"/>
    <w:rsid w:val="000F2773"/>
    <w:rsid w:val="000F3ECE"/>
    <w:rsid w:val="000F533E"/>
    <w:rsid w:val="000F7050"/>
    <w:rsid w:val="000F73C3"/>
    <w:rsid w:val="0010075B"/>
    <w:rsid w:val="00104EF2"/>
    <w:rsid w:val="00112D1C"/>
    <w:rsid w:val="00113420"/>
    <w:rsid w:val="00121582"/>
    <w:rsid w:val="001231AC"/>
    <w:rsid w:val="00124B47"/>
    <w:rsid w:val="0013502D"/>
    <w:rsid w:val="00136F88"/>
    <w:rsid w:val="00154156"/>
    <w:rsid w:val="00157670"/>
    <w:rsid w:val="00157D34"/>
    <w:rsid w:val="00160CD8"/>
    <w:rsid w:val="0016233C"/>
    <w:rsid w:val="0016243C"/>
    <w:rsid w:val="001663A4"/>
    <w:rsid w:val="00170552"/>
    <w:rsid w:val="00181331"/>
    <w:rsid w:val="00182E6A"/>
    <w:rsid w:val="00197946"/>
    <w:rsid w:val="001A644D"/>
    <w:rsid w:val="001A764A"/>
    <w:rsid w:val="001B3704"/>
    <w:rsid w:val="001B4861"/>
    <w:rsid w:val="001B5B4F"/>
    <w:rsid w:val="001C2CDA"/>
    <w:rsid w:val="001D17A6"/>
    <w:rsid w:val="001D28C2"/>
    <w:rsid w:val="001E6F8A"/>
    <w:rsid w:val="001F57C1"/>
    <w:rsid w:val="001F7E6C"/>
    <w:rsid w:val="00202009"/>
    <w:rsid w:val="00203036"/>
    <w:rsid w:val="002047CE"/>
    <w:rsid w:val="00204DD6"/>
    <w:rsid w:val="00211D59"/>
    <w:rsid w:val="0021462E"/>
    <w:rsid w:val="0021541E"/>
    <w:rsid w:val="002225D9"/>
    <w:rsid w:val="00223296"/>
    <w:rsid w:val="002238AE"/>
    <w:rsid w:val="0022539B"/>
    <w:rsid w:val="002313CA"/>
    <w:rsid w:val="00231C5D"/>
    <w:rsid w:val="002361F4"/>
    <w:rsid w:val="00237AB4"/>
    <w:rsid w:val="00245B4B"/>
    <w:rsid w:val="00250040"/>
    <w:rsid w:val="00253FC9"/>
    <w:rsid w:val="00254938"/>
    <w:rsid w:val="00257DF0"/>
    <w:rsid w:val="0026107D"/>
    <w:rsid w:val="00271602"/>
    <w:rsid w:val="002734C2"/>
    <w:rsid w:val="00275144"/>
    <w:rsid w:val="00284AB7"/>
    <w:rsid w:val="00285531"/>
    <w:rsid w:val="002865B1"/>
    <w:rsid w:val="002915B3"/>
    <w:rsid w:val="00294351"/>
    <w:rsid w:val="00296240"/>
    <w:rsid w:val="002B25BC"/>
    <w:rsid w:val="002C09DF"/>
    <w:rsid w:val="002C3AEB"/>
    <w:rsid w:val="002D0A3B"/>
    <w:rsid w:val="002D2BBC"/>
    <w:rsid w:val="002E5E0F"/>
    <w:rsid w:val="002F52D7"/>
    <w:rsid w:val="0030464E"/>
    <w:rsid w:val="00310E70"/>
    <w:rsid w:val="00317283"/>
    <w:rsid w:val="003175CA"/>
    <w:rsid w:val="00320E27"/>
    <w:rsid w:val="00325298"/>
    <w:rsid w:val="00332D76"/>
    <w:rsid w:val="00341984"/>
    <w:rsid w:val="00341AB8"/>
    <w:rsid w:val="0034328D"/>
    <w:rsid w:val="003464CF"/>
    <w:rsid w:val="00346993"/>
    <w:rsid w:val="00347352"/>
    <w:rsid w:val="00347D92"/>
    <w:rsid w:val="0035036F"/>
    <w:rsid w:val="003532F2"/>
    <w:rsid w:val="003559FB"/>
    <w:rsid w:val="003577D8"/>
    <w:rsid w:val="00367CD8"/>
    <w:rsid w:val="00370397"/>
    <w:rsid w:val="003823F5"/>
    <w:rsid w:val="00385847"/>
    <w:rsid w:val="00385F19"/>
    <w:rsid w:val="003965DE"/>
    <w:rsid w:val="00396F58"/>
    <w:rsid w:val="00397081"/>
    <w:rsid w:val="003A19BB"/>
    <w:rsid w:val="003A7E07"/>
    <w:rsid w:val="003A7F59"/>
    <w:rsid w:val="003B3D59"/>
    <w:rsid w:val="003B5995"/>
    <w:rsid w:val="003C1E7B"/>
    <w:rsid w:val="003C2ACD"/>
    <w:rsid w:val="003C6733"/>
    <w:rsid w:val="003D0B5C"/>
    <w:rsid w:val="003E251E"/>
    <w:rsid w:val="003E7D34"/>
    <w:rsid w:val="004027C2"/>
    <w:rsid w:val="0040559D"/>
    <w:rsid w:val="00406778"/>
    <w:rsid w:val="00407CA4"/>
    <w:rsid w:val="00423A7B"/>
    <w:rsid w:val="00431E7A"/>
    <w:rsid w:val="0043348A"/>
    <w:rsid w:val="0043358D"/>
    <w:rsid w:val="00452991"/>
    <w:rsid w:val="00464A28"/>
    <w:rsid w:val="00466861"/>
    <w:rsid w:val="004842AD"/>
    <w:rsid w:val="00490A72"/>
    <w:rsid w:val="004910AD"/>
    <w:rsid w:val="00493228"/>
    <w:rsid w:val="00495D7C"/>
    <w:rsid w:val="004A6BC8"/>
    <w:rsid w:val="004B09A6"/>
    <w:rsid w:val="004B4716"/>
    <w:rsid w:val="004B633E"/>
    <w:rsid w:val="004C00E5"/>
    <w:rsid w:val="004C2C62"/>
    <w:rsid w:val="004D3EF4"/>
    <w:rsid w:val="004E4104"/>
    <w:rsid w:val="00506C3C"/>
    <w:rsid w:val="00506DDE"/>
    <w:rsid w:val="00511A59"/>
    <w:rsid w:val="00512338"/>
    <w:rsid w:val="005135D5"/>
    <w:rsid w:val="00520A8E"/>
    <w:rsid w:val="00521935"/>
    <w:rsid w:val="00521E21"/>
    <w:rsid w:val="00522AA0"/>
    <w:rsid w:val="00531546"/>
    <w:rsid w:val="0053161D"/>
    <w:rsid w:val="00532BF1"/>
    <w:rsid w:val="00533120"/>
    <w:rsid w:val="00546F36"/>
    <w:rsid w:val="0055215B"/>
    <w:rsid w:val="00553D52"/>
    <w:rsid w:val="00554E3F"/>
    <w:rsid w:val="005577F5"/>
    <w:rsid w:val="005648F8"/>
    <w:rsid w:val="0056502A"/>
    <w:rsid w:val="0056613B"/>
    <w:rsid w:val="00585599"/>
    <w:rsid w:val="005939F0"/>
    <w:rsid w:val="005A469C"/>
    <w:rsid w:val="005B57D1"/>
    <w:rsid w:val="005C0E09"/>
    <w:rsid w:val="005C579D"/>
    <w:rsid w:val="005C7193"/>
    <w:rsid w:val="005D78A6"/>
    <w:rsid w:val="005E1FBC"/>
    <w:rsid w:val="005E6FE4"/>
    <w:rsid w:val="00600791"/>
    <w:rsid w:val="006068D0"/>
    <w:rsid w:val="00616CB6"/>
    <w:rsid w:val="00626BC0"/>
    <w:rsid w:val="006300F0"/>
    <w:rsid w:val="00636355"/>
    <w:rsid w:val="00637FE8"/>
    <w:rsid w:val="00642FF1"/>
    <w:rsid w:val="00643C97"/>
    <w:rsid w:val="00645522"/>
    <w:rsid w:val="006458CB"/>
    <w:rsid w:val="006505AF"/>
    <w:rsid w:val="00665B93"/>
    <w:rsid w:val="0066741D"/>
    <w:rsid w:val="0067062F"/>
    <w:rsid w:val="00670CBD"/>
    <w:rsid w:val="00672DD9"/>
    <w:rsid w:val="0067570A"/>
    <w:rsid w:val="00677500"/>
    <w:rsid w:val="00681638"/>
    <w:rsid w:val="00682024"/>
    <w:rsid w:val="00687B31"/>
    <w:rsid w:val="0069035C"/>
    <w:rsid w:val="00696740"/>
    <w:rsid w:val="006A072C"/>
    <w:rsid w:val="006A536B"/>
    <w:rsid w:val="006A720A"/>
    <w:rsid w:val="006A7E94"/>
    <w:rsid w:val="006B6B98"/>
    <w:rsid w:val="006C0B00"/>
    <w:rsid w:val="006C18EB"/>
    <w:rsid w:val="006C29E0"/>
    <w:rsid w:val="006C438F"/>
    <w:rsid w:val="006C4D6D"/>
    <w:rsid w:val="006C5B92"/>
    <w:rsid w:val="006D1BEA"/>
    <w:rsid w:val="006E1A58"/>
    <w:rsid w:val="006E5219"/>
    <w:rsid w:val="006F1C3C"/>
    <w:rsid w:val="006F24BD"/>
    <w:rsid w:val="00703B10"/>
    <w:rsid w:val="0070710E"/>
    <w:rsid w:val="0071050C"/>
    <w:rsid w:val="007177C2"/>
    <w:rsid w:val="007318E2"/>
    <w:rsid w:val="00732334"/>
    <w:rsid w:val="00734815"/>
    <w:rsid w:val="00746E72"/>
    <w:rsid w:val="00747058"/>
    <w:rsid w:val="0075145A"/>
    <w:rsid w:val="0075532E"/>
    <w:rsid w:val="00755644"/>
    <w:rsid w:val="0075649A"/>
    <w:rsid w:val="007572D7"/>
    <w:rsid w:val="00757B50"/>
    <w:rsid w:val="00771BF8"/>
    <w:rsid w:val="0077616A"/>
    <w:rsid w:val="00782D15"/>
    <w:rsid w:val="007834ED"/>
    <w:rsid w:val="007929E7"/>
    <w:rsid w:val="00794B93"/>
    <w:rsid w:val="00794D5E"/>
    <w:rsid w:val="007970AD"/>
    <w:rsid w:val="007A0ED2"/>
    <w:rsid w:val="007A1271"/>
    <w:rsid w:val="007A3E84"/>
    <w:rsid w:val="007B2545"/>
    <w:rsid w:val="007B4384"/>
    <w:rsid w:val="007B6F8A"/>
    <w:rsid w:val="007B7A4F"/>
    <w:rsid w:val="007C4C84"/>
    <w:rsid w:val="007C54D0"/>
    <w:rsid w:val="007D0BCB"/>
    <w:rsid w:val="007F04A5"/>
    <w:rsid w:val="007F10C3"/>
    <w:rsid w:val="007F3DEB"/>
    <w:rsid w:val="0081060D"/>
    <w:rsid w:val="00811CAC"/>
    <w:rsid w:val="0081222C"/>
    <w:rsid w:val="00812D30"/>
    <w:rsid w:val="00813872"/>
    <w:rsid w:val="00821C09"/>
    <w:rsid w:val="008248E2"/>
    <w:rsid w:val="00836C3E"/>
    <w:rsid w:val="00852B3F"/>
    <w:rsid w:val="00856F90"/>
    <w:rsid w:val="00873E9C"/>
    <w:rsid w:val="008777F8"/>
    <w:rsid w:val="00895373"/>
    <w:rsid w:val="008977E1"/>
    <w:rsid w:val="008A2A65"/>
    <w:rsid w:val="008A4B30"/>
    <w:rsid w:val="008C2432"/>
    <w:rsid w:val="008C52F4"/>
    <w:rsid w:val="008D4702"/>
    <w:rsid w:val="008E0520"/>
    <w:rsid w:val="008E0864"/>
    <w:rsid w:val="008E64ED"/>
    <w:rsid w:val="008F0D85"/>
    <w:rsid w:val="008F23A5"/>
    <w:rsid w:val="008F3E72"/>
    <w:rsid w:val="0090103D"/>
    <w:rsid w:val="00903C3D"/>
    <w:rsid w:val="00904B45"/>
    <w:rsid w:val="00906D6C"/>
    <w:rsid w:val="00906FFE"/>
    <w:rsid w:val="00907818"/>
    <w:rsid w:val="009124FB"/>
    <w:rsid w:val="00913C90"/>
    <w:rsid w:val="00915579"/>
    <w:rsid w:val="009168D7"/>
    <w:rsid w:val="009212BE"/>
    <w:rsid w:val="009216B1"/>
    <w:rsid w:val="00921713"/>
    <w:rsid w:val="00924AEB"/>
    <w:rsid w:val="00930687"/>
    <w:rsid w:val="0093459C"/>
    <w:rsid w:val="009358AC"/>
    <w:rsid w:val="00936704"/>
    <w:rsid w:val="0093799E"/>
    <w:rsid w:val="00947564"/>
    <w:rsid w:val="0095391E"/>
    <w:rsid w:val="00953B0B"/>
    <w:rsid w:val="00955BB3"/>
    <w:rsid w:val="0096709D"/>
    <w:rsid w:val="00973A14"/>
    <w:rsid w:val="009810E2"/>
    <w:rsid w:val="00983903"/>
    <w:rsid w:val="00997D98"/>
    <w:rsid w:val="009B1E13"/>
    <w:rsid w:val="009C0718"/>
    <w:rsid w:val="009C4785"/>
    <w:rsid w:val="009C4F3E"/>
    <w:rsid w:val="009C7698"/>
    <w:rsid w:val="009D05FF"/>
    <w:rsid w:val="009D084E"/>
    <w:rsid w:val="009D7BE7"/>
    <w:rsid w:val="009E4C98"/>
    <w:rsid w:val="009E709A"/>
    <w:rsid w:val="009E75F0"/>
    <w:rsid w:val="009F11FA"/>
    <w:rsid w:val="009F21B6"/>
    <w:rsid w:val="009F53D0"/>
    <w:rsid w:val="009F7CDC"/>
    <w:rsid w:val="009F7F6A"/>
    <w:rsid w:val="00A038C2"/>
    <w:rsid w:val="00A11DDD"/>
    <w:rsid w:val="00A122DB"/>
    <w:rsid w:val="00A13D50"/>
    <w:rsid w:val="00A143BE"/>
    <w:rsid w:val="00A20921"/>
    <w:rsid w:val="00A24EE8"/>
    <w:rsid w:val="00A25E38"/>
    <w:rsid w:val="00A3237C"/>
    <w:rsid w:val="00A36F3A"/>
    <w:rsid w:val="00A37707"/>
    <w:rsid w:val="00A50471"/>
    <w:rsid w:val="00A54D20"/>
    <w:rsid w:val="00A55048"/>
    <w:rsid w:val="00A55745"/>
    <w:rsid w:val="00A560E2"/>
    <w:rsid w:val="00A7020A"/>
    <w:rsid w:val="00A717F3"/>
    <w:rsid w:val="00A87089"/>
    <w:rsid w:val="00A906C4"/>
    <w:rsid w:val="00A920C0"/>
    <w:rsid w:val="00AA681B"/>
    <w:rsid w:val="00AB6300"/>
    <w:rsid w:val="00AC6AFA"/>
    <w:rsid w:val="00AC6BA8"/>
    <w:rsid w:val="00AC7EE6"/>
    <w:rsid w:val="00AD1779"/>
    <w:rsid w:val="00AD270E"/>
    <w:rsid w:val="00AD688C"/>
    <w:rsid w:val="00AE1DA8"/>
    <w:rsid w:val="00B06007"/>
    <w:rsid w:val="00B11B39"/>
    <w:rsid w:val="00B20437"/>
    <w:rsid w:val="00B2223E"/>
    <w:rsid w:val="00B23AFC"/>
    <w:rsid w:val="00B27327"/>
    <w:rsid w:val="00B3270C"/>
    <w:rsid w:val="00B35CE7"/>
    <w:rsid w:val="00B41131"/>
    <w:rsid w:val="00B50BB2"/>
    <w:rsid w:val="00B61EE4"/>
    <w:rsid w:val="00B7109E"/>
    <w:rsid w:val="00B715B8"/>
    <w:rsid w:val="00B71CE0"/>
    <w:rsid w:val="00B72383"/>
    <w:rsid w:val="00B82400"/>
    <w:rsid w:val="00B86305"/>
    <w:rsid w:val="00B870A6"/>
    <w:rsid w:val="00B9464F"/>
    <w:rsid w:val="00B94D32"/>
    <w:rsid w:val="00B96765"/>
    <w:rsid w:val="00B97F47"/>
    <w:rsid w:val="00BA0DE9"/>
    <w:rsid w:val="00BC10F3"/>
    <w:rsid w:val="00BC497E"/>
    <w:rsid w:val="00BD7339"/>
    <w:rsid w:val="00BE55BB"/>
    <w:rsid w:val="00BF6CC8"/>
    <w:rsid w:val="00C00132"/>
    <w:rsid w:val="00C024F2"/>
    <w:rsid w:val="00C042CF"/>
    <w:rsid w:val="00C0496E"/>
    <w:rsid w:val="00C1274F"/>
    <w:rsid w:val="00C137B6"/>
    <w:rsid w:val="00C15E7B"/>
    <w:rsid w:val="00C17C5E"/>
    <w:rsid w:val="00C17DC8"/>
    <w:rsid w:val="00C23512"/>
    <w:rsid w:val="00C26C15"/>
    <w:rsid w:val="00C26FEE"/>
    <w:rsid w:val="00C35BBE"/>
    <w:rsid w:val="00C52096"/>
    <w:rsid w:val="00C556BB"/>
    <w:rsid w:val="00C55D40"/>
    <w:rsid w:val="00C55F13"/>
    <w:rsid w:val="00C569C4"/>
    <w:rsid w:val="00C56D82"/>
    <w:rsid w:val="00C57ACF"/>
    <w:rsid w:val="00C6297F"/>
    <w:rsid w:val="00C66411"/>
    <w:rsid w:val="00C67945"/>
    <w:rsid w:val="00C751E3"/>
    <w:rsid w:val="00C82380"/>
    <w:rsid w:val="00C8475C"/>
    <w:rsid w:val="00C87008"/>
    <w:rsid w:val="00C95305"/>
    <w:rsid w:val="00C9536E"/>
    <w:rsid w:val="00C9674D"/>
    <w:rsid w:val="00CB45A8"/>
    <w:rsid w:val="00CB4729"/>
    <w:rsid w:val="00CC1147"/>
    <w:rsid w:val="00CC2A3F"/>
    <w:rsid w:val="00CC3DF7"/>
    <w:rsid w:val="00CD3290"/>
    <w:rsid w:val="00CE6353"/>
    <w:rsid w:val="00CF14FC"/>
    <w:rsid w:val="00D010CB"/>
    <w:rsid w:val="00D13695"/>
    <w:rsid w:val="00D20D0B"/>
    <w:rsid w:val="00D210DC"/>
    <w:rsid w:val="00D25163"/>
    <w:rsid w:val="00D251DE"/>
    <w:rsid w:val="00D30577"/>
    <w:rsid w:val="00D36A35"/>
    <w:rsid w:val="00D52F9C"/>
    <w:rsid w:val="00D5358B"/>
    <w:rsid w:val="00D55B82"/>
    <w:rsid w:val="00D60C55"/>
    <w:rsid w:val="00D7154A"/>
    <w:rsid w:val="00D74CF1"/>
    <w:rsid w:val="00D74EFD"/>
    <w:rsid w:val="00D75227"/>
    <w:rsid w:val="00D77F13"/>
    <w:rsid w:val="00D8480C"/>
    <w:rsid w:val="00D95257"/>
    <w:rsid w:val="00D95420"/>
    <w:rsid w:val="00DA06AD"/>
    <w:rsid w:val="00DB239B"/>
    <w:rsid w:val="00DB4185"/>
    <w:rsid w:val="00DB5DAE"/>
    <w:rsid w:val="00DC098B"/>
    <w:rsid w:val="00DC3468"/>
    <w:rsid w:val="00DC631D"/>
    <w:rsid w:val="00DD215F"/>
    <w:rsid w:val="00DD2251"/>
    <w:rsid w:val="00DD51B6"/>
    <w:rsid w:val="00DD52AC"/>
    <w:rsid w:val="00DE47F5"/>
    <w:rsid w:val="00DF0B0D"/>
    <w:rsid w:val="00DF63A1"/>
    <w:rsid w:val="00DF6545"/>
    <w:rsid w:val="00E01C8A"/>
    <w:rsid w:val="00E04026"/>
    <w:rsid w:val="00E1091B"/>
    <w:rsid w:val="00E10ABE"/>
    <w:rsid w:val="00E12B88"/>
    <w:rsid w:val="00E1358A"/>
    <w:rsid w:val="00E16512"/>
    <w:rsid w:val="00E229D9"/>
    <w:rsid w:val="00E23B11"/>
    <w:rsid w:val="00E3148B"/>
    <w:rsid w:val="00E33281"/>
    <w:rsid w:val="00E44974"/>
    <w:rsid w:val="00E44CA1"/>
    <w:rsid w:val="00E455EE"/>
    <w:rsid w:val="00E551DC"/>
    <w:rsid w:val="00E604AD"/>
    <w:rsid w:val="00E60E27"/>
    <w:rsid w:val="00E63EB9"/>
    <w:rsid w:val="00E65AA1"/>
    <w:rsid w:val="00E76106"/>
    <w:rsid w:val="00E77F74"/>
    <w:rsid w:val="00E86F4F"/>
    <w:rsid w:val="00E928B2"/>
    <w:rsid w:val="00E94AF4"/>
    <w:rsid w:val="00EA7D74"/>
    <w:rsid w:val="00EB0D2A"/>
    <w:rsid w:val="00EC4BCD"/>
    <w:rsid w:val="00EC5F1C"/>
    <w:rsid w:val="00ED21B6"/>
    <w:rsid w:val="00EE0855"/>
    <w:rsid w:val="00EE76A2"/>
    <w:rsid w:val="00EF5A24"/>
    <w:rsid w:val="00F01831"/>
    <w:rsid w:val="00F02F08"/>
    <w:rsid w:val="00F06130"/>
    <w:rsid w:val="00F20E69"/>
    <w:rsid w:val="00F24BA4"/>
    <w:rsid w:val="00F27767"/>
    <w:rsid w:val="00F31120"/>
    <w:rsid w:val="00F33D77"/>
    <w:rsid w:val="00F51A38"/>
    <w:rsid w:val="00F61F4D"/>
    <w:rsid w:val="00F737DB"/>
    <w:rsid w:val="00F76A7A"/>
    <w:rsid w:val="00F778DF"/>
    <w:rsid w:val="00FA41BC"/>
    <w:rsid w:val="00FA7B95"/>
    <w:rsid w:val="00FB1239"/>
    <w:rsid w:val="00FB2AED"/>
    <w:rsid w:val="00FC11BD"/>
    <w:rsid w:val="00FD2ECE"/>
    <w:rsid w:val="00FD49AF"/>
    <w:rsid w:val="00FE00E2"/>
    <w:rsid w:val="00FE7A75"/>
    <w:rsid w:val="00FF221C"/>
    <w:rsid w:val="00FF382F"/>
    <w:rsid w:val="00FF3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C9D17"/>
  <w15:chartTrackingRefBased/>
  <w15:docId w15:val="{4EFA83A6-6178-7E4E-A2F8-6EF459C8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2AED"/>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5C71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5C71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C719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C719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5C719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5C719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5C719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5C719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5C719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1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C71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1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1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1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1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1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1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193"/>
    <w:rPr>
      <w:rFonts w:eastAsiaTheme="majorEastAsia" w:cstheme="majorBidi"/>
      <w:color w:val="272727" w:themeColor="text1" w:themeTint="D8"/>
    </w:rPr>
  </w:style>
  <w:style w:type="paragraph" w:styleId="Titel">
    <w:name w:val="Title"/>
    <w:basedOn w:val="Standaard"/>
    <w:next w:val="Standaard"/>
    <w:link w:val="TitelChar"/>
    <w:uiPriority w:val="10"/>
    <w:qFormat/>
    <w:rsid w:val="005C719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C71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1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C71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19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5C7193"/>
    <w:rPr>
      <w:i/>
      <w:iCs/>
      <w:color w:val="404040" w:themeColor="text1" w:themeTint="BF"/>
    </w:rPr>
  </w:style>
  <w:style w:type="paragraph" w:styleId="Lijstalinea">
    <w:name w:val="List Paragraph"/>
    <w:basedOn w:val="Standaard"/>
    <w:uiPriority w:val="34"/>
    <w:qFormat/>
    <w:rsid w:val="005C719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5C7193"/>
    <w:rPr>
      <w:i/>
      <w:iCs/>
      <w:color w:val="0F4761" w:themeColor="accent1" w:themeShade="BF"/>
    </w:rPr>
  </w:style>
  <w:style w:type="paragraph" w:styleId="Duidelijkcitaat">
    <w:name w:val="Intense Quote"/>
    <w:basedOn w:val="Standaard"/>
    <w:next w:val="Standaard"/>
    <w:link w:val="DuidelijkcitaatChar"/>
    <w:uiPriority w:val="30"/>
    <w:qFormat/>
    <w:rsid w:val="005C71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5C7193"/>
    <w:rPr>
      <w:i/>
      <w:iCs/>
      <w:color w:val="0F4761" w:themeColor="accent1" w:themeShade="BF"/>
    </w:rPr>
  </w:style>
  <w:style w:type="character" w:styleId="Intensieveverwijzing">
    <w:name w:val="Intense Reference"/>
    <w:basedOn w:val="Standaardalinea-lettertype"/>
    <w:uiPriority w:val="32"/>
    <w:qFormat/>
    <w:rsid w:val="005C7193"/>
    <w:rPr>
      <w:b/>
      <w:bCs/>
      <w:smallCaps/>
      <w:color w:val="0F4761" w:themeColor="accent1" w:themeShade="BF"/>
      <w:spacing w:val="5"/>
    </w:rPr>
  </w:style>
  <w:style w:type="paragraph" w:styleId="Normaalweb">
    <w:name w:val="Normal (Web)"/>
    <w:basedOn w:val="Standaard"/>
    <w:uiPriority w:val="99"/>
    <w:unhideWhenUsed/>
    <w:rsid w:val="00C55D40"/>
    <w:pPr>
      <w:spacing w:before="100" w:beforeAutospacing="1" w:after="100" w:afterAutospacing="1"/>
    </w:pPr>
  </w:style>
  <w:style w:type="character" w:styleId="Zwaar">
    <w:name w:val="Strong"/>
    <w:basedOn w:val="Standaardalinea-lettertype"/>
    <w:uiPriority w:val="22"/>
    <w:qFormat/>
    <w:rsid w:val="00C55D40"/>
    <w:rPr>
      <w:b/>
      <w:bCs/>
    </w:rPr>
  </w:style>
  <w:style w:type="paragraph" w:styleId="Geenafstand">
    <w:name w:val="No Spacing"/>
    <w:uiPriority w:val="1"/>
    <w:qFormat/>
    <w:rsid w:val="00645522"/>
    <w:pPr>
      <w:spacing w:after="0" w:line="240" w:lineRule="auto"/>
    </w:pPr>
    <w:rPr>
      <w:rFonts w:eastAsiaTheme="minorEastAsia"/>
      <w:kern w:val="0"/>
      <w:sz w:val="22"/>
      <w:szCs w:val="22"/>
      <w:lang w:eastAsia="nl-NL"/>
      <w14:ligatures w14:val="none"/>
    </w:rPr>
  </w:style>
  <w:style w:type="paragraph" w:styleId="Kopvaninhoudsopgave">
    <w:name w:val="TOC Heading"/>
    <w:basedOn w:val="Kop1"/>
    <w:next w:val="Standaard"/>
    <w:uiPriority w:val="39"/>
    <w:unhideWhenUsed/>
    <w:qFormat/>
    <w:rsid w:val="00A5504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A55048"/>
    <w:pPr>
      <w:spacing w:before="240" w:after="120" w:line="278" w:lineRule="auto"/>
    </w:pPr>
    <w:rPr>
      <w:rFonts w:asciiTheme="minorHAnsi" w:eastAsiaTheme="minorHAnsi" w:hAnsiTheme="minorHAnsi" w:cstheme="minorBidi"/>
      <w:b/>
      <w:bCs/>
      <w:kern w:val="2"/>
      <w:sz w:val="20"/>
      <w:szCs w:val="20"/>
      <w:lang w:eastAsia="en-US"/>
      <w14:ligatures w14:val="standardContextual"/>
    </w:rPr>
  </w:style>
  <w:style w:type="paragraph" w:styleId="Inhopg2">
    <w:name w:val="toc 2"/>
    <w:basedOn w:val="Standaard"/>
    <w:next w:val="Standaard"/>
    <w:autoRedefine/>
    <w:uiPriority w:val="39"/>
    <w:unhideWhenUsed/>
    <w:rsid w:val="00A55048"/>
    <w:pPr>
      <w:spacing w:before="120" w:line="278" w:lineRule="auto"/>
      <w:ind w:left="240"/>
    </w:pPr>
    <w:rPr>
      <w:rFonts w:asciiTheme="minorHAnsi" w:eastAsiaTheme="minorHAnsi" w:hAnsiTheme="minorHAnsi" w:cstheme="minorBidi"/>
      <w:i/>
      <w:iCs/>
      <w:kern w:val="2"/>
      <w:sz w:val="20"/>
      <w:szCs w:val="20"/>
      <w:lang w:eastAsia="en-US"/>
      <w14:ligatures w14:val="standardContextual"/>
    </w:rPr>
  </w:style>
  <w:style w:type="character" w:styleId="Hyperlink">
    <w:name w:val="Hyperlink"/>
    <w:basedOn w:val="Standaardalinea-lettertype"/>
    <w:uiPriority w:val="99"/>
    <w:unhideWhenUsed/>
    <w:rsid w:val="00A55048"/>
    <w:rPr>
      <w:color w:val="467886" w:themeColor="hyperlink"/>
      <w:u w:val="single"/>
    </w:rPr>
  </w:style>
  <w:style w:type="paragraph" w:styleId="Inhopg3">
    <w:name w:val="toc 3"/>
    <w:basedOn w:val="Standaard"/>
    <w:next w:val="Standaard"/>
    <w:autoRedefine/>
    <w:uiPriority w:val="39"/>
    <w:semiHidden/>
    <w:unhideWhenUsed/>
    <w:rsid w:val="00A55048"/>
    <w:pPr>
      <w:spacing w:line="278" w:lineRule="auto"/>
      <w:ind w:left="480"/>
    </w:pPr>
    <w:rPr>
      <w:rFonts w:asciiTheme="minorHAnsi" w:eastAsiaTheme="minorHAnsi" w:hAnsiTheme="minorHAnsi" w:cstheme="minorBidi"/>
      <w:kern w:val="2"/>
      <w:sz w:val="20"/>
      <w:szCs w:val="20"/>
      <w:lang w:eastAsia="en-US"/>
      <w14:ligatures w14:val="standardContextual"/>
    </w:rPr>
  </w:style>
  <w:style w:type="paragraph" w:styleId="Inhopg4">
    <w:name w:val="toc 4"/>
    <w:basedOn w:val="Standaard"/>
    <w:next w:val="Standaard"/>
    <w:autoRedefine/>
    <w:uiPriority w:val="39"/>
    <w:semiHidden/>
    <w:unhideWhenUsed/>
    <w:rsid w:val="00A55048"/>
    <w:pPr>
      <w:spacing w:line="278" w:lineRule="auto"/>
      <w:ind w:left="720"/>
    </w:pPr>
    <w:rPr>
      <w:rFonts w:asciiTheme="minorHAnsi" w:eastAsiaTheme="minorHAnsi" w:hAnsiTheme="minorHAnsi" w:cstheme="minorBidi"/>
      <w:kern w:val="2"/>
      <w:sz w:val="20"/>
      <w:szCs w:val="20"/>
      <w:lang w:eastAsia="en-US"/>
      <w14:ligatures w14:val="standardContextual"/>
    </w:rPr>
  </w:style>
  <w:style w:type="paragraph" w:styleId="Inhopg5">
    <w:name w:val="toc 5"/>
    <w:basedOn w:val="Standaard"/>
    <w:next w:val="Standaard"/>
    <w:autoRedefine/>
    <w:uiPriority w:val="39"/>
    <w:semiHidden/>
    <w:unhideWhenUsed/>
    <w:rsid w:val="00A55048"/>
    <w:pPr>
      <w:spacing w:line="278" w:lineRule="auto"/>
      <w:ind w:left="960"/>
    </w:pPr>
    <w:rPr>
      <w:rFonts w:asciiTheme="minorHAnsi" w:eastAsiaTheme="minorHAnsi" w:hAnsiTheme="minorHAnsi" w:cstheme="minorBidi"/>
      <w:kern w:val="2"/>
      <w:sz w:val="20"/>
      <w:szCs w:val="20"/>
      <w:lang w:eastAsia="en-US"/>
      <w14:ligatures w14:val="standardContextual"/>
    </w:rPr>
  </w:style>
  <w:style w:type="paragraph" w:styleId="Inhopg6">
    <w:name w:val="toc 6"/>
    <w:basedOn w:val="Standaard"/>
    <w:next w:val="Standaard"/>
    <w:autoRedefine/>
    <w:uiPriority w:val="39"/>
    <w:semiHidden/>
    <w:unhideWhenUsed/>
    <w:rsid w:val="00A55048"/>
    <w:pPr>
      <w:spacing w:line="278" w:lineRule="auto"/>
      <w:ind w:left="1200"/>
    </w:pPr>
    <w:rPr>
      <w:rFonts w:asciiTheme="minorHAnsi" w:eastAsiaTheme="minorHAnsi" w:hAnsiTheme="minorHAnsi" w:cstheme="minorBidi"/>
      <w:kern w:val="2"/>
      <w:sz w:val="20"/>
      <w:szCs w:val="20"/>
      <w:lang w:eastAsia="en-US"/>
      <w14:ligatures w14:val="standardContextual"/>
    </w:rPr>
  </w:style>
  <w:style w:type="paragraph" w:styleId="Inhopg7">
    <w:name w:val="toc 7"/>
    <w:basedOn w:val="Standaard"/>
    <w:next w:val="Standaard"/>
    <w:autoRedefine/>
    <w:uiPriority w:val="39"/>
    <w:semiHidden/>
    <w:unhideWhenUsed/>
    <w:rsid w:val="00A55048"/>
    <w:pPr>
      <w:spacing w:line="278" w:lineRule="auto"/>
      <w:ind w:left="1440"/>
    </w:pPr>
    <w:rPr>
      <w:rFonts w:asciiTheme="minorHAnsi" w:eastAsiaTheme="minorHAnsi" w:hAnsiTheme="minorHAnsi" w:cstheme="minorBidi"/>
      <w:kern w:val="2"/>
      <w:sz w:val="20"/>
      <w:szCs w:val="20"/>
      <w:lang w:eastAsia="en-US"/>
      <w14:ligatures w14:val="standardContextual"/>
    </w:rPr>
  </w:style>
  <w:style w:type="paragraph" w:styleId="Inhopg8">
    <w:name w:val="toc 8"/>
    <w:basedOn w:val="Standaard"/>
    <w:next w:val="Standaard"/>
    <w:autoRedefine/>
    <w:uiPriority w:val="39"/>
    <w:semiHidden/>
    <w:unhideWhenUsed/>
    <w:rsid w:val="00A55048"/>
    <w:pPr>
      <w:spacing w:line="278" w:lineRule="auto"/>
      <w:ind w:left="1680"/>
    </w:pPr>
    <w:rPr>
      <w:rFonts w:asciiTheme="minorHAnsi" w:eastAsiaTheme="minorHAnsi" w:hAnsiTheme="minorHAnsi" w:cstheme="minorBidi"/>
      <w:kern w:val="2"/>
      <w:sz w:val="20"/>
      <w:szCs w:val="20"/>
      <w:lang w:eastAsia="en-US"/>
      <w14:ligatures w14:val="standardContextual"/>
    </w:rPr>
  </w:style>
  <w:style w:type="paragraph" w:styleId="Inhopg9">
    <w:name w:val="toc 9"/>
    <w:basedOn w:val="Standaard"/>
    <w:next w:val="Standaard"/>
    <w:autoRedefine/>
    <w:uiPriority w:val="39"/>
    <w:semiHidden/>
    <w:unhideWhenUsed/>
    <w:rsid w:val="00A55048"/>
    <w:pPr>
      <w:spacing w:line="278" w:lineRule="auto"/>
      <w:ind w:left="1920"/>
    </w:pPr>
    <w:rPr>
      <w:rFonts w:asciiTheme="minorHAnsi" w:eastAsiaTheme="minorHAnsi" w:hAnsiTheme="minorHAnsi" w:cstheme="minorBidi"/>
      <w:kern w:val="2"/>
      <w:sz w:val="20"/>
      <w:szCs w:val="20"/>
      <w:lang w:eastAsia="en-US"/>
      <w14:ligatures w14:val="standardContextual"/>
    </w:rPr>
  </w:style>
  <w:style w:type="character" w:styleId="Onopgelostemelding">
    <w:name w:val="Unresolved Mention"/>
    <w:basedOn w:val="Standaardalinea-lettertype"/>
    <w:uiPriority w:val="99"/>
    <w:semiHidden/>
    <w:unhideWhenUsed/>
    <w:rsid w:val="00294351"/>
    <w:rPr>
      <w:color w:val="605E5C"/>
      <w:shd w:val="clear" w:color="auto" w:fill="E1DFDD"/>
    </w:rPr>
  </w:style>
  <w:style w:type="table" w:styleId="Tabelraster">
    <w:name w:val="Table Grid"/>
    <w:basedOn w:val="Standaardtabel"/>
    <w:uiPriority w:val="39"/>
    <w:rsid w:val="0020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DA06AD"/>
    <w:rPr>
      <w:i/>
      <w:iCs/>
    </w:rPr>
  </w:style>
  <w:style w:type="paragraph" w:styleId="Voettekst">
    <w:name w:val="footer"/>
    <w:basedOn w:val="Standaard"/>
    <w:link w:val="VoettekstChar"/>
    <w:uiPriority w:val="99"/>
    <w:unhideWhenUsed/>
    <w:rsid w:val="00856F90"/>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VoettekstChar">
    <w:name w:val="Voettekst Char"/>
    <w:basedOn w:val="Standaardalinea-lettertype"/>
    <w:link w:val="Voettekst"/>
    <w:uiPriority w:val="99"/>
    <w:rsid w:val="00856F90"/>
  </w:style>
  <w:style w:type="character" w:styleId="Paginanummer">
    <w:name w:val="page number"/>
    <w:basedOn w:val="Standaardalinea-lettertype"/>
    <w:uiPriority w:val="99"/>
    <w:semiHidden/>
    <w:unhideWhenUsed/>
    <w:rsid w:val="00856F90"/>
  </w:style>
  <w:style w:type="paragraph" w:styleId="Koptekst">
    <w:name w:val="header"/>
    <w:basedOn w:val="Standaard"/>
    <w:link w:val="KoptekstChar"/>
    <w:uiPriority w:val="99"/>
    <w:unhideWhenUsed/>
    <w:rsid w:val="00856F90"/>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tekstChar">
    <w:name w:val="Koptekst Char"/>
    <w:basedOn w:val="Standaardalinea-lettertype"/>
    <w:link w:val="Koptekst"/>
    <w:uiPriority w:val="99"/>
    <w:rsid w:val="00856F90"/>
  </w:style>
  <w:style w:type="character" w:styleId="Verwijzingopmerking">
    <w:name w:val="annotation reference"/>
    <w:basedOn w:val="Standaardalinea-lettertype"/>
    <w:uiPriority w:val="99"/>
    <w:semiHidden/>
    <w:unhideWhenUsed/>
    <w:rsid w:val="0021462E"/>
    <w:rPr>
      <w:sz w:val="16"/>
      <w:szCs w:val="16"/>
    </w:rPr>
  </w:style>
  <w:style w:type="paragraph" w:styleId="Tekstopmerking">
    <w:name w:val="annotation text"/>
    <w:basedOn w:val="Standaard"/>
    <w:link w:val="TekstopmerkingChar"/>
    <w:uiPriority w:val="99"/>
    <w:unhideWhenUsed/>
    <w:rsid w:val="0021462E"/>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1462E"/>
    <w:rPr>
      <w:sz w:val="20"/>
      <w:szCs w:val="20"/>
    </w:rPr>
  </w:style>
  <w:style w:type="paragraph" w:styleId="Onderwerpvanopmerking">
    <w:name w:val="annotation subject"/>
    <w:basedOn w:val="Tekstopmerking"/>
    <w:next w:val="Tekstopmerking"/>
    <w:link w:val="OnderwerpvanopmerkingChar"/>
    <w:uiPriority w:val="99"/>
    <w:semiHidden/>
    <w:unhideWhenUsed/>
    <w:rsid w:val="0021462E"/>
    <w:rPr>
      <w:b/>
      <w:bCs/>
    </w:rPr>
  </w:style>
  <w:style w:type="character" w:customStyle="1" w:styleId="OnderwerpvanopmerkingChar">
    <w:name w:val="Onderwerp van opmerking Char"/>
    <w:basedOn w:val="TekstopmerkingChar"/>
    <w:link w:val="Onderwerpvanopmerking"/>
    <w:uiPriority w:val="99"/>
    <w:semiHidden/>
    <w:rsid w:val="0021462E"/>
    <w:rPr>
      <w:b/>
      <w:bCs/>
      <w:sz w:val="20"/>
      <w:szCs w:val="20"/>
    </w:rPr>
  </w:style>
  <w:style w:type="paragraph" w:styleId="Ballontekst">
    <w:name w:val="Balloon Text"/>
    <w:basedOn w:val="Standaard"/>
    <w:link w:val="BallontekstChar"/>
    <w:uiPriority w:val="99"/>
    <w:semiHidden/>
    <w:unhideWhenUsed/>
    <w:rsid w:val="00C23512"/>
    <w:rPr>
      <w:rFonts w:ascii="Segoe UI" w:eastAsiaTheme="minorHAnsi" w:hAnsi="Segoe UI" w:cs="Segoe UI"/>
      <w:kern w:val="2"/>
      <w:sz w:val="18"/>
      <w:szCs w:val="18"/>
      <w:lang w:eastAsia="en-US"/>
      <w14:ligatures w14:val="standardContextual"/>
    </w:rPr>
  </w:style>
  <w:style w:type="character" w:customStyle="1" w:styleId="BallontekstChar">
    <w:name w:val="Ballontekst Char"/>
    <w:basedOn w:val="Standaardalinea-lettertype"/>
    <w:link w:val="Ballontekst"/>
    <w:uiPriority w:val="99"/>
    <w:semiHidden/>
    <w:rsid w:val="00C23512"/>
    <w:rPr>
      <w:rFonts w:ascii="Segoe UI" w:hAnsi="Segoe UI" w:cs="Segoe UI"/>
      <w:sz w:val="18"/>
      <w:szCs w:val="18"/>
    </w:rPr>
  </w:style>
  <w:style w:type="paragraph" w:styleId="Revisie">
    <w:name w:val="Revision"/>
    <w:hidden/>
    <w:uiPriority w:val="99"/>
    <w:semiHidden/>
    <w:rsid w:val="005577F5"/>
    <w:pPr>
      <w:spacing w:after="0" w:line="240" w:lineRule="auto"/>
    </w:pPr>
  </w:style>
  <w:style w:type="character" w:styleId="GevolgdeHyperlink">
    <w:name w:val="FollowedHyperlink"/>
    <w:basedOn w:val="Standaardalinea-lettertype"/>
    <w:uiPriority w:val="99"/>
    <w:semiHidden/>
    <w:unhideWhenUsed/>
    <w:rsid w:val="00C0496E"/>
    <w:rPr>
      <w:color w:val="96607D" w:themeColor="followedHyperlink"/>
      <w:u w:val="single"/>
    </w:rPr>
  </w:style>
  <w:style w:type="paragraph" w:customStyle="1" w:styleId="isselectedend">
    <w:name w:val="isselectedend"/>
    <w:basedOn w:val="Standaard"/>
    <w:rsid w:val="00D136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htlijnen.nhg.org/standaarden/duizeligheid" TargetMode="External"/><Relationship Id="rId13" Type="http://schemas.openxmlformats.org/officeDocument/2006/relationships/hyperlink" Target="https://richtlijnendatabase.nl/richtlijn/epilepsie/anti-epileptica_bij_epilepsie/wanneer_staken_met_anti-epileptica_bij_epilepsie.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chtlijnendatabase.nl/richtlijn/epilepsie/organisatie_van_zorg_bij_epilepsie/wanneer_verwijzen_bij_epilepsi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chtlijnen.nhg.org/standaarden/hoofdpijn" TargetMode="External"/><Relationship Id="rId5" Type="http://schemas.openxmlformats.org/officeDocument/2006/relationships/webSettings" Target="webSettings.xml"/><Relationship Id="rId15" Type="http://schemas.openxmlformats.org/officeDocument/2006/relationships/hyperlink" Target="http://www.neurologie.nl" TargetMode="External"/><Relationship Id="rId10" Type="http://schemas.openxmlformats.org/officeDocument/2006/relationships/hyperlink" Target="https://richtlijnen.nhg.org/standaarden/hoofdtrau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ichtlijnen.nhg.org/standaarden/aspecifieke-lagerugpijn" TargetMode="External"/><Relationship Id="rId14" Type="http://schemas.openxmlformats.org/officeDocument/2006/relationships/hyperlink" Target="https://richtlijnendatabase.nl/richtlijn/epilepsie/bewaking_bij_anti-epilepticagebruik_bij_epilepsie/monitoren_klinisch-chemische_en_hematologische_parameters_bij_epilepsi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1E45-4D2D-43CE-9EB7-636D55F1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2659</Words>
  <Characters>14627</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van Leeuwen</dc:creator>
  <cp:keywords/>
  <dc:description/>
  <cp:lastModifiedBy>Marij Smits | NVN</cp:lastModifiedBy>
  <cp:revision>2</cp:revision>
  <dcterms:created xsi:type="dcterms:W3CDTF">2026-06-26T07:36:00Z</dcterms:created>
  <dcterms:modified xsi:type="dcterms:W3CDTF">2026-06-26T07:36:00Z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-474949119</vt:i4>
  </property>
  <property fmtid="{D5CDD505-2E9C-101B-9397-08002B2CF9AE}" pid="3" name="_NewReviewCycle">
    <vt:lpwstr/>
  </property>
  <property fmtid="{D5CDD505-2E9C-101B-9397-08002B2CF9AE}" pid="4" name="_EmailSubject">
    <vt:lpwstr>Mariëlle/Lisette verstandige keuzes</vt:lpwstr>
  </property>
  <property fmtid="{D5CDD505-2E9C-101B-9397-08002B2CF9AE}" pid="5" name="_AuthorEmail">
    <vt:lpwstr>m.wohlgemuth@etz.nl</vt:lpwstr>
  </property>
  <property fmtid="{D5CDD505-2E9C-101B-9397-08002B2CF9AE}" pid="6" name="_AuthorEmailDisplayName">
    <vt:lpwstr>Wohlgemuth, Marielle</vt:lpwstr>
  </property>
  <property fmtid="{D5CDD505-2E9C-101B-9397-08002B2CF9AE}" pid="7" name="_PreviousAdHocReviewCycleID">
    <vt:i4>544160818</vt:i4>
  </property>
  <property fmtid="{D5CDD505-2E9C-101B-9397-08002B2CF9AE}" pid="8" name="_ReviewingToolsShownOnce">
    <vt:lpwstr/>
  </property>
</Properties>
</file>